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B86" w:rsidRPr="00E95FA2" w:rsidRDefault="00871B86" w:rsidP="00C458AA">
      <w:pPr>
        <w:jc w:val="right"/>
        <w:rPr>
          <w:b/>
          <w:sz w:val="48"/>
          <w:szCs w:val="48"/>
        </w:rPr>
      </w:pPr>
      <w:bookmarkStart w:id="0" w:name="_Toc214003082"/>
      <w:bookmarkStart w:id="1" w:name="_Toc153189646"/>
      <w:r w:rsidRPr="00E95FA2">
        <w:rPr>
          <w:b/>
          <w:sz w:val="48"/>
          <w:szCs w:val="48"/>
        </w:rPr>
        <w:t>Work</w:t>
      </w:r>
      <w:r w:rsidR="00ED7203">
        <w:rPr>
          <w:b/>
          <w:sz w:val="48"/>
          <w:szCs w:val="48"/>
        </w:rPr>
        <w:t xml:space="preserve"> P</w:t>
      </w:r>
      <w:bookmarkStart w:id="2" w:name="_GoBack"/>
      <w:bookmarkEnd w:id="2"/>
      <w:r w:rsidRPr="00E95FA2">
        <w:rPr>
          <w:b/>
          <w:sz w:val="48"/>
          <w:szCs w:val="48"/>
        </w:rPr>
        <w:t>aper PGECOREF104</w:t>
      </w:r>
    </w:p>
    <w:p w:rsidR="00871B86" w:rsidRPr="00E95FA2" w:rsidRDefault="00871B86" w:rsidP="00871B86">
      <w:pPr>
        <w:jc w:val="right"/>
        <w:rPr>
          <w:b/>
          <w:sz w:val="48"/>
          <w:szCs w:val="48"/>
        </w:rPr>
      </w:pPr>
      <w:r w:rsidRPr="00E95FA2">
        <w:rPr>
          <w:b/>
          <w:sz w:val="48"/>
          <w:szCs w:val="48"/>
        </w:rPr>
        <w:t>New Display Cases with Doors</w:t>
      </w:r>
    </w:p>
    <w:p w:rsidR="00871B86" w:rsidRPr="00E95FA2" w:rsidRDefault="003D13C3" w:rsidP="00871B86">
      <w:pPr>
        <w:jc w:val="right"/>
        <w:rPr>
          <w:color w:val="FF0000"/>
        </w:rPr>
      </w:pPr>
      <w:r w:rsidRPr="00E95FA2">
        <w:rPr>
          <w:b/>
          <w:sz w:val="48"/>
          <w:szCs w:val="48"/>
        </w:rPr>
        <w:t>Revision #</w:t>
      </w:r>
      <w:r w:rsidR="0005658F" w:rsidRPr="00E95FA2">
        <w:rPr>
          <w:b/>
          <w:sz w:val="48"/>
          <w:szCs w:val="48"/>
        </w:rPr>
        <w:t>5</w:t>
      </w:r>
    </w:p>
    <w:p w:rsidR="00871B86" w:rsidRPr="00E95FA2" w:rsidRDefault="00871B86" w:rsidP="00871B86"/>
    <w:p w:rsidR="00871B86" w:rsidRPr="00E95FA2" w:rsidRDefault="00871B86" w:rsidP="00871B86"/>
    <w:p w:rsidR="00871B86" w:rsidRPr="00E95FA2" w:rsidRDefault="00871B86" w:rsidP="00871B86">
      <w:pPr>
        <w:pBdr>
          <w:bottom w:val="single" w:sz="4" w:space="1" w:color="auto"/>
        </w:pBdr>
        <w:rPr>
          <w:b/>
          <w:sz w:val="36"/>
          <w:szCs w:val="36"/>
        </w:rPr>
      </w:pPr>
      <w:r w:rsidRPr="00E95FA2">
        <w:rPr>
          <w:b/>
          <w:sz w:val="36"/>
          <w:szCs w:val="36"/>
        </w:rPr>
        <w:t>Pacific Gas &amp; Electric Company</w:t>
      </w:r>
    </w:p>
    <w:p w:rsidR="00871B86" w:rsidRPr="00E95FA2" w:rsidRDefault="00871B86" w:rsidP="00871B86">
      <w:pPr>
        <w:rPr>
          <w:b/>
          <w:sz w:val="32"/>
          <w:szCs w:val="32"/>
        </w:rPr>
      </w:pPr>
      <w:r w:rsidRPr="00E95FA2">
        <w:rPr>
          <w:b/>
          <w:sz w:val="32"/>
          <w:szCs w:val="32"/>
        </w:rPr>
        <w:t>Customer Energy Solutions Department</w:t>
      </w:r>
    </w:p>
    <w:p w:rsidR="00871B86" w:rsidRPr="00E95FA2" w:rsidRDefault="00871B86" w:rsidP="00871B86"/>
    <w:p w:rsidR="00871B86" w:rsidRPr="00E95FA2" w:rsidRDefault="00871B86" w:rsidP="00871B86"/>
    <w:p w:rsidR="00871B86" w:rsidRPr="00E95FA2" w:rsidRDefault="00871B86" w:rsidP="00871B86"/>
    <w:p w:rsidR="00871B86" w:rsidRPr="00E95FA2" w:rsidRDefault="00871B86" w:rsidP="00871B86"/>
    <w:p w:rsidR="00871B86" w:rsidRPr="00E95FA2" w:rsidRDefault="00871B86" w:rsidP="00871B86"/>
    <w:p w:rsidR="00871B86" w:rsidRPr="00E95FA2" w:rsidRDefault="00871B86" w:rsidP="00871B86"/>
    <w:p w:rsidR="00871B86" w:rsidRPr="00E95FA2" w:rsidRDefault="00871B86" w:rsidP="00871B86"/>
    <w:p w:rsidR="00871B86" w:rsidRPr="00127E3F" w:rsidRDefault="00871B86" w:rsidP="006D5F53">
      <w:pPr>
        <w:pStyle w:val="Workpapertitle"/>
      </w:pPr>
      <w:r w:rsidRPr="00127E3F">
        <w:t>New Refrigeration Display Cases with Doors</w:t>
      </w:r>
      <w:r w:rsidRPr="00127E3F">
        <w:fldChar w:fldCharType="begin"/>
      </w:r>
      <w:r w:rsidRPr="00127E3F">
        <w:instrText xml:space="preserve"> XE "Doors" </w:instrText>
      </w:r>
      <w:r w:rsidRPr="00127E3F">
        <w:fldChar w:fldCharType="end"/>
      </w:r>
      <w:r w:rsidRPr="00127E3F">
        <w:t xml:space="preserve"> </w:t>
      </w:r>
    </w:p>
    <w:p w:rsidR="00871B86" w:rsidRPr="00E95FA2" w:rsidRDefault="00871B86" w:rsidP="00871B86">
      <w:pPr>
        <w:ind w:right="-720"/>
        <w:rPr>
          <w:b/>
        </w:rPr>
      </w:pPr>
      <w:r w:rsidRPr="00E95FA2">
        <w:rPr>
          <w:b/>
        </w:rPr>
        <w:t>Measure Codes</w:t>
      </w:r>
      <w:r w:rsidRPr="00E95FA2">
        <w:rPr>
          <w:b/>
          <w:color w:val="FF0000"/>
        </w:rPr>
        <w:t xml:space="preserve"> </w:t>
      </w:r>
      <w:r w:rsidRPr="00E95FA2">
        <w:rPr>
          <w:b/>
        </w:rPr>
        <w:t>R4 and R5</w:t>
      </w:r>
    </w:p>
    <w:p w:rsidR="00251FE8" w:rsidRDefault="00251FE8" w:rsidP="006C578E">
      <w:pPr>
        <w:pStyle w:val="Heading1"/>
      </w:pPr>
      <w:bookmarkStart w:id="3" w:name="_Toc364340821"/>
      <w:bookmarkStart w:id="4" w:name="_Toc386465481"/>
      <w:bookmarkEnd w:id="1"/>
    </w:p>
    <w:p w:rsidR="00251FE8" w:rsidRDefault="00251FE8" w:rsidP="006C578E">
      <w:pPr>
        <w:pStyle w:val="Heading1"/>
      </w:pPr>
    </w:p>
    <w:p w:rsidR="00251FE8" w:rsidRDefault="00251FE8" w:rsidP="006C578E">
      <w:pPr>
        <w:pStyle w:val="Heading1"/>
      </w:pPr>
    </w:p>
    <w:p w:rsidR="00251FE8" w:rsidRDefault="00251FE8" w:rsidP="006C578E">
      <w:pPr>
        <w:pStyle w:val="Heading1"/>
      </w:pPr>
    </w:p>
    <w:p w:rsidR="00251FE8" w:rsidRDefault="00251FE8" w:rsidP="006C578E">
      <w:pPr>
        <w:pStyle w:val="Heading1"/>
      </w:pPr>
    </w:p>
    <w:p w:rsidR="00251FE8" w:rsidRDefault="00251FE8" w:rsidP="006C578E">
      <w:pPr>
        <w:pStyle w:val="Heading1"/>
      </w:pPr>
    </w:p>
    <w:p w:rsidR="00251FE8" w:rsidRDefault="00251FE8" w:rsidP="00251FE8">
      <w:pPr>
        <w:pStyle w:val="Heading1"/>
        <w:jc w:val="right"/>
      </w:pPr>
      <w:r>
        <w:t>May 20, 2014</w:t>
      </w:r>
    </w:p>
    <w:p w:rsidR="00251FE8" w:rsidRDefault="00251FE8" w:rsidP="00251FE8">
      <w:pPr>
        <w:pStyle w:val="Heading1"/>
        <w:jc w:val="center"/>
      </w:pPr>
      <w:r>
        <w:br w:type="page"/>
      </w:r>
    </w:p>
    <w:p w:rsidR="008F795E" w:rsidRPr="00E95FA2" w:rsidRDefault="008F795E" w:rsidP="006C578E">
      <w:pPr>
        <w:pStyle w:val="Heading1"/>
      </w:pPr>
      <w:r w:rsidRPr="00E95FA2">
        <w:t>At-a-Glance Summary</w:t>
      </w:r>
      <w:bookmarkEnd w:id="3"/>
      <w:bookmarkEnd w:id="4"/>
    </w:p>
    <w:tbl>
      <w:tblPr>
        <w:tblW w:w="9720" w:type="dxa"/>
        <w:tblInd w:w="-72" w:type="dxa"/>
        <w:tblBorders>
          <w:insideH w:val="single" w:sz="18" w:space="0" w:color="FFFFFF"/>
          <w:insideV w:val="single" w:sz="18" w:space="0" w:color="FFFFFF"/>
        </w:tblBorders>
        <w:tblLook w:val="01E0" w:firstRow="1" w:lastRow="1" w:firstColumn="1" w:lastColumn="1" w:noHBand="0" w:noVBand="0"/>
      </w:tblPr>
      <w:tblGrid>
        <w:gridCol w:w="4233"/>
        <w:gridCol w:w="1829"/>
        <w:gridCol w:w="1829"/>
        <w:gridCol w:w="1829"/>
      </w:tblGrid>
      <w:tr w:rsidR="008F795E" w:rsidRPr="00E95FA2" w:rsidTr="00937C46">
        <w:trPr>
          <w:trHeight w:val="465"/>
        </w:trPr>
        <w:tc>
          <w:tcPr>
            <w:tcW w:w="4233" w:type="dxa"/>
            <w:shd w:val="pct20" w:color="000000" w:fill="FFFFFF"/>
          </w:tcPr>
          <w:p w:rsidR="008F795E" w:rsidRPr="00E95FA2" w:rsidRDefault="00E414DC" w:rsidP="008F795E">
            <w:pPr>
              <w:rPr>
                <w:b/>
                <w:bCs/>
              </w:rPr>
            </w:pPr>
            <w:r w:rsidRPr="00E95FA2">
              <w:rPr>
                <w:b/>
                <w:bCs/>
              </w:rPr>
              <w:t>Applicable Measure Codes:</w:t>
            </w:r>
          </w:p>
        </w:tc>
        <w:tc>
          <w:tcPr>
            <w:tcW w:w="1829" w:type="dxa"/>
            <w:shd w:val="pct20" w:color="000000" w:fill="FFFFFF"/>
          </w:tcPr>
          <w:p w:rsidR="008F795E" w:rsidRPr="00E95FA2" w:rsidRDefault="00E414DC" w:rsidP="008F795E">
            <w:pPr>
              <w:rPr>
                <w:b/>
                <w:bCs/>
                <w:sz w:val="20"/>
                <w:szCs w:val="20"/>
              </w:rPr>
            </w:pPr>
            <w:r w:rsidRPr="00E95FA2">
              <w:rPr>
                <w:b/>
                <w:bCs/>
                <w:sz w:val="20"/>
                <w:szCs w:val="20"/>
              </w:rPr>
              <w:t>R4</w:t>
            </w:r>
          </w:p>
        </w:tc>
        <w:tc>
          <w:tcPr>
            <w:tcW w:w="1829" w:type="dxa"/>
            <w:shd w:val="pct20" w:color="000000" w:fill="FFFFFF"/>
          </w:tcPr>
          <w:p w:rsidR="008F795E" w:rsidRPr="00E95FA2" w:rsidRDefault="00E414DC" w:rsidP="008F795E">
            <w:pPr>
              <w:rPr>
                <w:b/>
                <w:bCs/>
                <w:sz w:val="20"/>
                <w:szCs w:val="20"/>
              </w:rPr>
            </w:pPr>
            <w:r w:rsidRPr="00E95FA2">
              <w:rPr>
                <w:b/>
                <w:bCs/>
                <w:sz w:val="20"/>
                <w:szCs w:val="20"/>
              </w:rPr>
              <w:t>R5</w:t>
            </w:r>
          </w:p>
        </w:tc>
        <w:tc>
          <w:tcPr>
            <w:tcW w:w="1829" w:type="dxa"/>
            <w:shd w:val="pct20" w:color="000000" w:fill="FFFFFF"/>
          </w:tcPr>
          <w:p w:rsidR="008F795E" w:rsidRPr="00E95FA2" w:rsidRDefault="008F795E" w:rsidP="008F795E">
            <w:pPr>
              <w:rPr>
                <w:b/>
                <w:bCs/>
                <w:sz w:val="20"/>
                <w:szCs w:val="20"/>
              </w:rPr>
            </w:pPr>
          </w:p>
        </w:tc>
      </w:tr>
      <w:tr w:rsidR="008F795E" w:rsidRPr="00E95FA2" w:rsidTr="00937C46">
        <w:trPr>
          <w:trHeight w:val="465"/>
        </w:trPr>
        <w:tc>
          <w:tcPr>
            <w:tcW w:w="4233" w:type="dxa"/>
            <w:shd w:val="pct5" w:color="000000" w:fill="FFFFFF"/>
          </w:tcPr>
          <w:p w:rsidR="008F795E" w:rsidRPr="00E95FA2" w:rsidRDefault="00DF70BC" w:rsidP="008F795E">
            <w:pPr>
              <w:rPr>
                <w:b/>
              </w:rPr>
            </w:pPr>
            <w:r w:rsidRPr="00E95FA2">
              <w:rPr>
                <w:b/>
              </w:rPr>
              <w:t>Measure Description:</w:t>
            </w:r>
          </w:p>
        </w:tc>
        <w:tc>
          <w:tcPr>
            <w:tcW w:w="5487" w:type="dxa"/>
            <w:gridSpan w:val="3"/>
            <w:shd w:val="pct5" w:color="000000" w:fill="FFFFFF"/>
          </w:tcPr>
          <w:p w:rsidR="008F795E" w:rsidRDefault="00FF79F4" w:rsidP="008F795E">
            <w:r w:rsidRPr="0099671C">
              <w:t>New Refrigeration Display Cases with Doors – Low Temperature (R4) and New Refrigeration Display Cases with Doors – Medium Temperature (R5).</w:t>
            </w:r>
          </w:p>
          <w:p w:rsidR="007C622D" w:rsidRPr="0099671C" w:rsidRDefault="007C622D" w:rsidP="008F795E"/>
        </w:tc>
      </w:tr>
      <w:tr w:rsidR="008F795E" w:rsidRPr="00E95FA2" w:rsidTr="00937C46">
        <w:trPr>
          <w:trHeight w:val="465"/>
        </w:trPr>
        <w:tc>
          <w:tcPr>
            <w:tcW w:w="4233" w:type="dxa"/>
            <w:shd w:val="pct20" w:color="000000" w:fill="FFFFFF"/>
          </w:tcPr>
          <w:p w:rsidR="008F795E" w:rsidRPr="00E95FA2" w:rsidRDefault="00DF70BC" w:rsidP="008F795E">
            <w:pPr>
              <w:rPr>
                <w:b/>
              </w:rPr>
            </w:pPr>
            <w:r w:rsidRPr="00E95FA2">
              <w:rPr>
                <w:b/>
              </w:rPr>
              <w:t>Energy Impact Common Units:</w:t>
            </w:r>
          </w:p>
        </w:tc>
        <w:tc>
          <w:tcPr>
            <w:tcW w:w="5487" w:type="dxa"/>
            <w:gridSpan w:val="3"/>
            <w:shd w:val="pct20" w:color="000000" w:fill="FFFFFF"/>
          </w:tcPr>
          <w:p w:rsidR="008F795E" w:rsidRPr="0099671C" w:rsidRDefault="00BD7EC8" w:rsidP="008F795E">
            <w:r w:rsidRPr="0099671C">
              <w:t>Linear Feet of Case</w:t>
            </w:r>
          </w:p>
        </w:tc>
      </w:tr>
      <w:tr w:rsidR="008F795E" w:rsidRPr="00E95FA2" w:rsidTr="00937C46">
        <w:trPr>
          <w:trHeight w:val="465"/>
        </w:trPr>
        <w:tc>
          <w:tcPr>
            <w:tcW w:w="4233" w:type="dxa"/>
            <w:shd w:val="pct5" w:color="000000" w:fill="FFFFFF"/>
          </w:tcPr>
          <w:p w:rsidR="008F795E" w:rsidRPr="00E95FA2" w:rsidRDefault="00DF70BC" w:rsidP="008F795E">
            <w:pPr>
              <w:rPr>
                <w:b/>
              </w:rPr>
            </w:pPr>
            <w:r w:rsidRPr="00E95FA2">
              <w:rPr>
                <w:b/>
              </w:rPr>
              <w:t>Base Case Description:</w:t>
            </w:r>
          </w:p>
        </w:tc>
        <w:tc>
          <w:tcPr>
            <w:tcW w:w="5487" w:type="dxa"/>
            <w:gridSpan w:val="3"/>
            <w:shd w:val="pct5" w:color="000000" w:fill="FFFFFF"/>
          </w:tcPr>
          <w:p w:rsidR="008F795E" w:rsidRPr="0099671C" w:rsidRDefault="00BD7EC8" w:rsidP="008F795E">
            <w:r w:rsidRPr="0099671C">
              <w:t>Source: DOE2.2R Model</w:t>
            </w:r>
          </w:p>
          <w:p w:rsidR="00BD7EC8" w:rsidRDefault="00BD7EC8" w:rsidP="00BD7EC8">
            <w:r w:rsidRPr="0099671C">
              <w:t>Existing open vertical low-temperature (LT) and medium-temperature (MT) display cases.</w:t>
            </w:r>
          </w:p>
          <w:p w:rsidR="007C622D" w:rsidRPr="0099671C" w:rsidRDefault="007C622D" w:rsidP="00BD7EC8"/>
        </w:tc>
      </w:tr>
      <w:tr w:rsidR="008F795E" w:rsidRPr="00E95FA2" w:rsidTr="00937C46">
        <w:trPr>
          <w:trHeight w:val="465"/>
        </w:trPr>
        <w:tc>
          <w:tcPr>
            <w:tcW w:w="4233" w:type="dxa"/>
            <w:shd w:val="pct20" w:color="000000" w:fill="FFFFFF"/>
          </w:tcPr>
          <w:p w:rsidR="008F795E" w:rsidRPr="00E95FA2" w:rsidRDefault="00DF70BC" w:rsidP="008F795E">
            <w:pPr>
              <w:rPr>
                <w:b/>
              </w:rPr>
            </w:pPr>
            <w:r w:rsidRPr="00E95FA2">
              <w:rPr>
                <w:b/>
              </w:rPr>
              <w:t>Base Case Energy Consumption:</w:t>
            </w:r>
          </w:p>
        </w:tc>
        <w:tc>
          <w:tcPr>
            <w:tcW w:w="5487" w:type="dxa"/>
            <w:gridSpan w:val="3"/>
            <w:shd w:val="pct20" w:color="000000" w:fill="FFFFFF"/>
          </w:tcPr>
          <w:p w:rsidR="008F795E" w:rsidRPr="0099671C" w:rsidRDefault="008D0B4B" w:rsidP="008F795E">
            <w:r w:rsidRPr="0099671C">
              <w:t>Source: DOE2.2R Model</w:t>
            </w:r>
          </w:p>
          <w:p w:rsidR="008D0B4B" w:rsidRDefault="008D0B4B" w:rsidP="008F795E">
            <w:r w:rsidRPr="0099671C">
              <w:t>The total baseline energy use consists of the direct</w:t>
            </w:r>
            <w:r w:rsidRPr="0099671C">
              <w:fldChar w:fldCharType="begin"/>
            </w:r>
            <w:r w:rsidRPr="0099671C">
              <w:instrText xml:space="preserve"> XE "ASH" </w:instrText>
            </w:r>
            <w:r w:rsidRPr="0099671C">
              <w:fldChar w:fldCharType="end"/>
            </w:r>
            <w:r w:rsidRPr="0099671C">
              <w:t xml:space="preserve"> energy use of the refrigerated case (</w:t>
            </w:r>
            <w:r w:rsidR="00584996">
              <w:t xml:space="preserve">evaporator </w:t>
            </w:r>
            <w:r w:rsidRPr="0099671C">
              <w:t>fans</w:t>
            </w:r>
            <w:r w:rsidRPr="0099671C">
              <w:fldChar w:fldCharType="begin"/>
            </w:r>
            <w:r w:rsidRPr="0099671C">
              <w:instrText xml:space="preserve"> XE "fans</w:instrText>
            </w:r>
            <w:proofErr w:type="gramStart"/>
            <w:r w:rsidRPr="0099671C">
              <w:instrText xml:space="preserve">" </w:instrText>
            </w:r>
            <w:proofErr w:type="gramEnd"/>
            <w:r w:rsidRPr="0099671C">
              <w:fldChar w:fldCharType="end"/>
            </w:r>
            <w:r w:rsidRPr="0099671C">
              <w:t>, lights</w:t>
            </w:r>
            <w:r w:rsidR="00584996">
              <w:t>,</w:t>
            </w:r>
            <w:r w:rsidRPr="0099671C">
              <w:fldChar w:fldCharType="begin"/>
            </w:r>
            <w:r w:rsidRPr="0099671C">
              <w:instrText xml:space="preserve"> XE "lights" </w:instrText>
            </w:r>
            <w:r w:rsidRPr="0099671C">
              <w:fldChar w:fldCharType="end"/>
            </w:r>
            <w:r w:rsidRPr="0099671C">
              <w:t xml:space="preserve"> and anti-sweat heater) and energy consumption of the refrigeration compressors</w:t>
            </w:r>
            <w:r w:rsidR="00584996">
              <w:t xml:space="preserve"> and condensers</w:t>
            </w:r>
            <w:r w:rsidRPr="0099671C">
              <w:t xml:space="preserve"> to meet the </w:t>
            </w:r>
            <w:r w:rsidR="00CD1039">
              <w:t>system</w:t>
            </w:r>
            <w:r w:rsidRPr="0099671C">
              <w:t xml:space="preserve"> load</w:t>
            </w:r>
            <w:r w:rsidR="00CD1039">
              <w:t>s</w:t>
            </w:r>
            <w:r w:rsidRPr="0099671C">
              <w:t xml:space="preserve">. The direct energy use of the case remains constant while the refrigeration energy consumption varies by climate zone. </w:t>
            </w:r>
          </w:p>
          <w:p w:rsidR="00CB66E0" w:rsidRPr="0099671C" w:rsidRDefault="00CB66E0" w:rsidP="008F795E"/>
          <w:p w:rsidR="007C622D" w:rsidRPr="0099671C" w:rsidRDefault="007C622D" w:rsidP="008F795E"/>
        </w:tc>
      </w:tr>
      <w:tr w:rsidR="008F795E" w:rsidRPr="00E95FA2" w:rsidTr="00937C46">
        <w:trPr>
          <w:trHeight w:val="465"/>
        </w:trPr>
        <w:tc>
          <w:tcPr>
            <w:tcW w:w="4233" w:type="dxa"/>
            <w:shd w:val="pct5" w:color="000000" w:fill="FFFFFF"/>
          </w:tcPr>
          <w:p w:rsidR="008F795E" w:rsidRPr="00E95FA2" w:rsidRDefault="00DF70BC" w:rsidP="008F795E">
            <w:pPr>
              <w:rPr>
                <w:b/>
              </w:rPr>
            </w:pPr>
            <w:r w:rsidRPr="00E95FA2">
              <w:rPr>
                <w:b/>
              </w:rPr>
              <w:t>Measure Energy Consumption:</w:t>
            </w:r>
          </w:p>
        </w:tc>
        <w:tc>
          <w:tcPr>
            <w:tcW w:w="5487" w:type="dxa"/>
            <w:gridSpan w:val="3"/>
            <w:shd w:val="pct5" w:color="000000" w:fill="FFFFFF"/>
          </w:tcPr>
          <w:p w:rsidR="008F795E" w:rsidRPr="0099671C" w:rsidRDefault="00252C62" w:rsidP="008F795E">
            <w:r w:rsidRPr="0099671C">
              <w:t>Source: DOE2.2R Model</w:t>
            </w:r>
          </w:p>
          <w:p w:rsidR="00252C62" w:rsidRDefault="00252C62" w:rsidP="008F795E">
            <w:r w:rsidRPr="0099671C">
              <w:t>In the post-retrofit case the refrigerated cases are equipped with low energy glass doors, high-efficiency fans</w:t>
            </w:r>
            <w:r w:rsidRPr="0099671C">
              <w:fldChar w:fldCharType="begin"/>
            </w:r>
            <w:r w:rsidRPr="0099671C">
              <w:instrText xml:space="preserve"> XE "fans</w:instrText>
            </w:r>
            <w:proofErr w:type="gramStart"/>
            <w:r w:rsidRPr="0099671C">
              <w:instrText xml:space="preserve">" </w:instrText>
            </w:r>
            <w:proofErr w:type="gramEnd"/>
            <w:r w:rsidRPr="0099671C">
              <w:fldChar w:fldCharType="end"/>
            </w:r>
            <w:r w:rsidRPr="0099671C">
              <w:t>, lights</w:t>
            </w:r>
            <w:r w:rsidRPr="0099671C">
              <w:fldChar w:fldCharType="begin"/>
            </w:r>
            <w:r w:rsidRPr="0099671C">
              <w:instrText xml:space="preserve"> XE "lights" </w:instrText>
            </w:r>
            <w:r w:rsidRPr="0099671C">
              <w:fldChar w:fldCharType="end"/>
            </w:r>
            <w:r w:rsidRPr="0099671C">
              <w:t xml:space="preserve"> and anti-sweat heaters (ASH</w:t>
            </w:r>
            <w:r w:rsidRPr="0099671C">
              <w:fldChar w:fldCharType="begin"/>
            </w:r>
            <w:r w:rsidRPr="0099671C">
              <w:instrText xml:space="preserve"> XE "ASH" </w:instrText>
            </w:r>
            <w:r w:rsidRPr="0099671C">
              <w:fldChar w:fldCharType="end"/>
            </w:r>
            <w:r w:rsidRPr="0099671C">
              <w:t>). The increased efficiency of the f</w:t>
            </w:r>
            <w:r w:rsidR="005D20ED">
              <w:t>ans and lights results in a</w:t>
            </w:r>
            <w:r w:rsidRPr="0099671C">
              <w:t xml:space="preserve"> decrease in </w:t>
            </w:r>
            <w:r w:rsidR="005D20ED">
              <w:t xml:space="preserve">direct </w:t>
            </w:r>
            <w:r w:rsidRPr="0099671C">
              <w:t xml:space="preserve">energy consumption. There is a decrease in refrigeration </w:t>
            </w:r>
            <w:r w:rsidR="005D20ED">
              <w:t xml:space="preserve">energy consumption </w:t>
            </w:r>
            <w:r w:rsidRPr="0099671C">
              <w:t>from reduction in air infiltration and from interactive effects that vary by climate zone.</w:t>
            </w:r>
          </w:p>
          <w:p w:rsidR="007C622D" w:rsidRPr="0099671C" w:rsidRDefault="007C622D" w:rsidP="008F795E"/>
        </w:tc>
      </w:tr>
      <w:tr w:rsidR="008F795E" w:rsidRPr="00E95FA2" w:rsidTr="00937C46">
        <w:trPr>
          <w:trHeight w:val="465"/>
        </w:trPr>
        <w:tc>
          <w:tcPr>
            <w:tcW w:w="4233" w:type="dxa"/>
            <w:shd w:val="pct20" w:color="000000" w:fill="FFFFFF"/>
          </w:tcPr>
          <w:p w:rsidR="008F795E" w:rsidRPr="00E95FA2" w:rsidRDefault="00DF70BC" w:rsidP="008F795E">
            <w:pPr>
              <w:rPr>
                <w:b/>
              </w:rPr>
            </w:pPr>
            <w:r w:rsidRPr="00E95FA2">
              <w:rPr>
                <w:b/>
              </w:rPr>
              <w:t>Energy Savings (Base Case-Measure)</w:t>
            </w:r>
          </w:p>
        </w:tc>
        <w:tc>
          <w:tcPr>
            <w:tcW w:w="5487" w:type="dxa"/>
            <w:gridSpan w:val="3"/>
            <w:shd w:val="pct20" w:color="000000" w:fill="FFFFFF"/>
          </w:tcPr>
          <w:p w:rsidR="008F795E" w:rsidRPr="0099671C" w:rsidRDefault="00DD4BBD" w:rsidP="008F795E">
            <w:r w:rsidRPr="0099671C">
              <w:t>Source: DOE2.2R Model</w:t>
            </w:r>
          </w:p>
          <w:p w:rsidR="00DD4BBD" w:rsidRDefault="00DD4BBD" w:rsidP="008F795E">
            <w:r w:rsidRPr="0099671C">
              <w:t>The energy savings vary by climate zone.</w:t>
            </w:r>
          </w:p>
          <w:p w:rsidR="007C622D" w:rsidRPr="0099671C" w:rsidRDefault="007C622D" w:rsidP="008F795E"/>
        </w:tc>
      </w:tr>
    </w:tbl>
    <w:p w:rsidR="00AA6672" w:rsidRDefault="00AA6672">
      <w:pPr>
        <w:sectPr w:rsidR="00AA6672" w:rsidSect="00745F0F">
          <w:footerReference w:type="default" r:id="rId12"/>
          <w:footerReference w:type="first" r:id="rId13"/>
          <w:pgSz w:w="12240" w:h="15840"/>
          <w:pgMar w:top="1440" w:right="1440" w:bottom="1440" w:left="1440" w:header="720" w:footer="720" w:gutter="0"/>
          <w:pgNumType w:fmt="lowerRoman"/>
          <w:cols w:space="720"/>
          <w:titlePg/>
          <w:docGrid w:linePitch="360"/>
        </w:sectPr>
      </w:pPr>
      <w:r>
        <w:br w:type="page"/>
      </w:r>
    </w:p>
    <w:p w:rsidR="00AA6672" w:rsidRDefault="00AA6672"/>
    <w:tbl>
      <w:tblPr>
        <w:tblW w:w="9720" w:type="dxa"/>
        <w:tblInd w:w="-72" w:type="dxa"/>
        <w:tblBorders>
          <w:insideH w:val="single" w:sz="18" w:space="0" w:color="FFFFFF"/>
          <w:insideV w:val="single" w:sz="18" w:space="0" w:color="FFFFFF"/>
        </w:tblBorders>
        <w:tblLook w:val="01E0" w:firstRow="1" w:lastRow="1" w:firstColumn="1" w:lastColumn="1" w:noHBand="0" w:noVBand="0"/>
      </w:tblPr>
      <w:tblGrid>
        <w:gridCol w:w="4233"/>
        <w:gridCol w:w="5487"/>
      </w:tblGrid>
      <w:tr w:rsidR="008F795E" w:rsidRPr="00E95FA2" w:rsidTr="00937C46">
        <w:trPr>
          <w:trHeight w:val="540"/>
        </w:trPr>
        <w:tc>
          <w:tcPr>
            <w:tcW w:w="4233" w:type="dxa"/>
            <w:shd w:val="pct5" w:color="000000" w:fill="FFFFFF"/>
          </w:tcPr>
          <w:p w:rsidR="008F795E" w:rsidRPr="00E95FA2" w:rsidRDefault="00DF70BC" w:rsidP="008F795E">
            <w:pPr>
              <w:rPr>
                <w:b/>
              </w:rPr>
            </w:pPr>
            <w:r w:rsidRPr="00E95FA2">
              <w:rPr>
                <w:b/>
              </w:rPr>
              <w:t>Costs Common Units:</w:t>
            </w:r>
          </w:p>
        </w:tc>
        <w:tc>
          <w:tcPr>
            <w:tcW w:w="5487" w:type="dxa"/>
            <w:shd w:val="pct5" w:color="000000" w:fill="FFFFFF"/>
          </w:tcPr>
          <w:p w:rsidR="008F795E" w:rsidRDefault="00ED39A8" w:rsidP="008F795E">
            <w:r w:rsidRPr="0099671C">
              <w:t>Linear Feet of Case</w:t>
            </w:r>
          </w:p>
          <w:p w:rsidR="00CB66E0" w:rsidRPr="0099671C" w:rsidRDefault="00CB66E0" w:rsidP="008F795E"/>
        </w:tc>
      </w:tr>
      <w:tr w:rsidR="008F795E" w:rsidRPr="00E95FA2" w:rsidTr="00937C46">
        <w:trPr>
          <w:trHeight w:val="465"/>
        </w:trPr>
        <w:tc>
          <w:tcPr>
            <w:tcW w:w="4233" w:type="dxa"/>
            <w:shd w:val="pct20" w:color="000000" w:fill="FFFFFF"/>
          </w:tcPr>
          <w:p w:rsidR="008F795E" w:rsidRPr="00E95FA2" w:rsidRDefault="00DF70BC" w:rsidP="008F795E">
            <w:pPr>
              <w:rPr>
                <w:b/>
              </w:rPr>
            </w:pPr>
            <w:r w:rsidRPr="00E95FA2">
              <w:rPr>
                <w:b/>
              </w:rPr>
              <w:t>Base Case Equipment Cost ($/Unit):</w:t>
            </w:r>
          </w:p>
        </w:tc>
        <w:tc>
          <w:tcPr>
            <w:tcW w:w="5487" w:type="dxa"/>
            <w:shd w:val="pct20" w:color="000000" w:fill="FFFFFF"/>
          </w:tcPr>
          <w:p w:rsidR="00EF7AF7" w:rsidRPr="0099671C" w:rsidRDefault="00EF7AF7" w:rsidP="008F795E">
            <w:r w:rsidRPr="0099671C">
              <w:t xml:space="preserve">Source: </w:t>
            </w:r>
            <w:r w:rsidR="0035059B">
              <w:t>Department of Energy Rulemaking for Commercial Refrigeration Equipment Energy Conservation Standards, Chapter 8: Life-Cycle Cost and Payback Period Analysis</w:t>
            </w:r>
            <w:r w:rsidR="00424092" w:rsidRPr="0099671C">
              <w:t>:</w:t>
            </w:r>
          </w:p>
          <w:p w:rsidR="00424092" w:rsidRPr="0099671C" w:rsidRDefault="00057B54" w:rsidP="008F795E">
            <w:r>
              <w:t>R4</w:t>
            </w:r>
            <w:r w:rsidR="00424092" w:rsidRPr="0099671C">
              <w:t xml:space="preserve">: </w:t>
            </w:r>
            <w:r w:rsidR="006006C5">
              <w:t xml:space="preserve">ROB - </w:t>
            </w:r>
            <w:r w:rsidR="00424092" w:rsidRPr="0099671C">
              <w:t>$1,04</w:t>
            </w:r>
            <w:r w:rsidR="00DD5CF1">
              <w:t>3</w:t>
            </w:r>
            <w:r w:rsidR="00424092" w:rsidRPr="0099671C">
              <w:t>.38/linear-</w:t>
            </w:r>
            <w:proofErr w:type="spellStart"/>
            <w:r w:rsidR="00424092" w:rsidRPr="0099671C">
              <w:t>ft</w:t>
            </w:r>
            <w:proofErr w:type="spellEnd"/>
          </w:p>
          <w:p w:rsidR="00424092" w:rsidRPr="0099671C" w:rsidRDefault="00057B54" w:rsidP="008F795E">
            <w:r>
              <w:t>R5</w:t>
            </w:r>
            <w:r w:rsidR="00424092" w:rsidRPr="0099671C">
              <w:t xml:space="preserve">: </w:t>
            </w:r>
            <w:r w:rsidR="006006C5">
              <w:t xml:space="preserve">ROB - </w:t>
            </w:r>
            <w:r w:rsidR="00424092" w:rsidRPr="0099671C">
              <w:t>$800.15/linear-</w:t>
            </w:r>
            <w:proofErr w:type="spellStart"/>
            <w:r w:rsidR="00424092" w:rsidRPr="0099671C">
              <w:t>ft</w:t>
            </w:r>
            <w:proofErr w:type="spellEnd"/>
          </w:p>
          <w:p w:rsidR="00CB66E0" w:rsidRPr="0099671C" w:rsidRDefault="00CB66E0" w:rsidP="008F795E"/>
        </w:tc>
      </w:tr>
      <w:tr w:rsidR="008F795E" w:rsidRPr="00E95FA2" w:rsidTr="00937C46">
        <w:trPr>
          <w:trHeight w:val="465"/>
        </w:trPr>
        <w:tc>
          <w:tcPr>
            <w:tcW w:w="4233" w:type="dxa"/>
            <w:shd w:val="pct5" w:color="000000" w:fill="FFFFFF"/>
          </w:tcPr>
          <w:p w:rsidR="008F795E" w:rsidRPr="00E95FA2" w:rsidRDefault="00DF70BC" w:rsidP="008F795E">
            <w:pPr>
              <w:rPr>
                <w:b/>
              </w:rPr>
            </w:pPr>
            <w:r w:rsidRPr="00E95FA2">
              <w:rPr>
                <w:b/>
              </w:rPr>
              <w:t>Measure Equipment Cost ($/Unit):</w:t>
            </w:r>
          </w:p>
        </w:tc>
        <w:tc>
          <w:tcPr>
            <w:tcW w:w="5487" w:type="dxa"/>
            <w:shd w:val="pct5" w:color="000000" w:fill="FFFFFF"/>
          </w:tcPr>
          <w:p w:rsidR="008F795E" w:rsidRPr="0099671C" w:rsidRDefault="00424092" w:rsidP="008F795E">
            <w:r w:rsidRPr="0099671C">
              <w:t xml:space="preserve">Source: </w:t>
            </w:r>
            <w:r w:rsidR="0035059B">
              <w:t>Department of Energy Rulemaking for Commercial Refrigeration Equipment Energy Conservation Standards, Chapter 8: Life-Cycle Cost and Payback Period Analysis</w:t>
            </w:r>
          </w:p>
          <w:p w:rsidR="00421106" w:rsidRPr="0099671C" w:rsidRDefault="00057B54" w:rsidP="008F795E">
            <w:r>
              <w:t>R4</w:t>
            </w:r>
            <w:r w:rsidR="00421106" w:rsidRPr="0099671C">
              <w:t>: $1,254.65/linear-</w:t>
            </w:r>
            <w:proofErr w:type="spellStart"/>
            <w:r w:rsidR="00421106" w:rsidRPr="0099671C">
              <w:t>ft</w:t>
            </w:r>
            <w:proofErr w:type="spellEnd"/>
          </w:p>
          <w:p w:rsidR="00421106" w:rsidRPr="0099671C" w:rsidRDefault="00057B54" w:rsidP="008F795E">
            <w:r>
              <w:t>R5</w:t>
            </w:r>
            <w:r w:rsidR="00421106" w:rsidRPr="0099671C">
              <w:t>: $1,122.11/linear-</w:t>
            </w:r>
            <w:proofErr w:type="spellStart"/>
            <w:r w:rsidR="00421106" w:rsidRPr="0099671C">
              <w:t>ft</w:t>
            </w:r>
            <w:proofErr w:type="spellEnd"/>
          </w:p>
          <w:p w:rsidR="007C622D" w:rsidRPr="0099671C" w:rsidRDefault="007C622D" w:rsidP="008F795E"/>
        </w:tc>
      </w:tr>
      <w:tr w:rsidR="008F795E" w:rsidRPr="00E95FA2" w:rsidTr="00956589">
        <w:trPr>
          <w:trHeight w:val="465"/>
        </w:trPr>
        <w:tc>
          <w:tcPr>
            <w:tcW w:w="4233" w:type="dxa"/>
            <w:tcBorders>
              <w:bottom w:val="single" w:sz="18" w:space="0" w:color="FFFFFF"/>
            </w:tcBorders>
            <w:shd w:val="pct20" w:color="000000" w:fill="FFFFFF"/>
          </w:tcPr>
          <w:p w:rsidR="008F795E" w:rsidRPr="00E95FA2" w:rsidRDefault="00DF70BC" w:rsidP="008F795E">
            <w:pPr>
              <w:rPr>
                <w:b/>
              </w:rPr>
            </w:pPr>
            <w:r w:rsidRPr="00E95FA2">
              <w:rPr>
                <w:b/>
              </w:rPr>
              <w:t>Gross Measure Cost ($/Unit</w:t>
            </w:r>
            <w:r w:rsidR="008F4D83" w:rsidRPr="00E95FA2">
              <w:rPr>
                <w:b/>
              </w:rPr>
              <w:t>)</w:t>
            </w:r>
            <w:r w:rsidRPr="00E95FA2">
              <w:rPr>
                <w:b/>
              </w:rPr>
              <w:t>:</w:t>
            </w:r>
          </w:p>
        </w:tc>
        <w:tc>
          <w:tcPr>
            <w:tcW w:w="5487" w:type="dxa"/>
            <w:tcBorders>
              <w:bottom w:val="single" w:sz="18" w:space="0" w:color="FFFFFF"/>
            </w:tcBorders>
            <w:shd w:val="pct20" w:color="000000" w:fill="FFFFFF"/>
          </w:tcPr>
          <w:p w:rsidR="008F795E" w:rsidRPr="0099671C" w:rsidRDefault="00F51D39" w:rsidP="008F795E">
            <w:r w:rsidRPr="0099671C">
              <w:t xml:space="preserve">Source: </w:t>
            </w:r>
          </w:p>
          <w:p w:rsidR="00F51D39" w:rsidRPr="0099671C" w:rsidRDefault="00F51D39" w:rsidP="008F795E">
            <w:r w:rsidRPr="0099671C">
              <w:t>Measure ID – Transaction Type – Gross Measure Case Cost</w:t>
            </w:r>
          </w:p>
          <w:p w:rsidR="00F51D39" w:rsidRPr="0099671C" w:rsidRDefault="00F51D39" w:rsidP="008F795E">
            <w:r w:rsidRPr="0099671C">
              <w:t>R4</w:t>
            </w:r>
            <w:r w:rsidR="00057B54">
              <w:t>:</w:t>
            </w:r>
            <w:r w:rsidRPr="0099671C">
              <w:t xml:space="preserve"> ROB – $211.27</w:t>
            </w:r>
            <w:r w:rsidR="00057B54">
              <w:t>/linear-</w:t>
            </w:r>
            <w:proofErr w:type="spellStart"/>
            <w:r w:rsidR="00057B54">
              <w:t>ft</w:t>
            </w:r>
            <w:proofErr w:type="spellEnd"/>
          </w:p>
          <w:p w:rsidR="00057B54" w:rsidRPr="0099671C" w:rsidRDefault="00057B54" w:rsidP="00057B54">
            <w:r>
              <w:t>R5:</w:t>
            </w:r>
            <w:r w:rsidR="00F51D39" w:rsidRPr="0099671C">
              <w:t xml:space="preserve"> ROB – $321.95</w:t>
            </w:r>
            <w:r>
              <w:t>/linear-</w:t>
            </w:r>
            <w:proofErr w:type="spellStart"/>
            <w:r>
              <w:t>ft</w:t>
            </w:r>
            <w:proofErr w:type="spellEnd"/>
          </w:p>
          <w:p w:rsidR="007C622D" w:rsidRPr="0099671C" w:rsidRDefault="007C622D" w:rsidP="008F795E"/>
        </w:tc>
      </w:tr>
      <w:tr w:rsidR="008F795E" w:rsidRPr="00E95FA2" w:rsidTr="00956589">
        <w:trPr>
          <w:trHeight w:val="465"/>
        </w:trPr>
        <w:tc>
          <w:tcPr>
            <w:tcW w:w="4233" w:type="dxa"/>
            <w:tcBorders>
              <w:top w:val="single" w:sz="18" w:space="0" w:color="FFFFFF"/>
              <w:bottom w:val="single" w:sz="18" w:space="0" w:color="FFFFFF"/>
            </w:tcBorders>
            <w:shd w:val="pct5" w:color="auto" w:fill="auto"/>
          </w:tcPr>
          <w:p w:rsidR="008F795E" w:rsidRPr="00E95FA2" w:rsidRDefault="00DF70BC" w:rsidP="008F795E">
            <w:pPr>
              <w:rPr>
                <w:b/>
              </w:rPr>
            </w:pPr>
            <w:r w:rsidRPr="00E95FA2">
              <w:rPr>
                <w:b/>
              </w:rPr>
              <w:t>Measure Incremental Cost ($/Unit):</w:t>
            </w:r>
          </w:p>
        </w:tc>
        <w:tc>
          <w:tcPr>
            <w:tcW w:w="5487" w:type="dxa"/>
            <w:tcBorders>
              <w:top w:val="single" w:sz="18" w:space="0" w:color="FFFFFF"/>
              <w:bottom w:val="single" w:sz="18" w:space="0" w:color="FFFFFF"/>
            </w:tcBorders>
            <w:shd w:val="pct5" w:color="auto" w:fill="auto"/>
          </w:tcPr>
          <w:p w:rsidR="008F795E" w:rsidRPr="0099671C" w:rsidRDefault="008B7E40" w:rsidP="008F795E">
            <w:r w:rsidRPr="0099671C">
              <w:t xml:space="preserve">Source: </w:t>
            </w:r>
            <w:r w:rsidR="00AE43D8">
              <w:t>Department of Energy Rulemaking for Commercial Refrigeration Equipment Energy Conservation Standards, Chapter 8: Life-Cycle Cost and Payback Period Analysis</w:t>
            </w:r>
          </w:p>
          <w:p w:rsidR="008B7E40" w:rsidRPr="0099671C" w:rsidRDefault="008B7E40" w:rsidP="008F795E">
            <w:r w:rsidRPr="0099671C">
              <w:t xml:space="preserve">Measure ID – Transaction Type – Gross Measure Case Cost </w:t>
            </w:r>
          </w:p>
          <w:p w:rsidR="008B7E40" w:rsidRPr="0099671C" w:rsidRDefault="00057B54" w:rsidP="008F795E">
            <w:r>
              <w:t>R4:</w:t>
            </w:r>
            <w:r w:rsidR="008B7E40" w:rsidRPr="0099671C">
              <w:t xml:space="preserve"> ROB – $211.27</w:t>
            </w:r>
            <w:r>
              <w:t>/linear-</w:t>
            </w:r>
            <w:proofErr w:type="spellStart"/>
            <w:r>
              <w:t>ft</w:t>
            </w:r>
            <w:proofErr w:type="spellEnd"/>
          </w:p>
          <w:p w:rsidR="008B7E40" w:rsidRPr="0099671C" w:rsidRDefault="00057B54" w:rsidP="008F795E">
            <w:r>
              <w:t>R5:</w:t>
            </w:r>
            <w:r w:rsidR="008B7E40" w:rsidRPr="0099671C">
              <w:t xml:space="preserve"> ROB – $321.95</w:t>
            </w:r>
            <w:r>
              <w:t>/linear-</w:t>
            </w:r>
            <w:proofErr w:type="spellStart"/>
            <w:r>
              <w:t>ft</w:t>
            </w:r>
            <w:proofErr w:type="spellEnd"/>
          </w:p>
          <w:p w:rsidR="00CB66E0" w:rsidRPr="0099671C" w:rsidRDefault="00CB66E0" w:rsidP="008F795E"/>
        </w:tc>
      </w:tr>
      <w:tr w:rsidR="008F795E" w:rsidRPr="00E95FA2" w:rsidTr="00956589">
        <w:trPr>
          <w:trHeight w:val="465"/>
        </w:trPr>
        <w:tc>
          <w:tcPr>
            <w:tcW w:w="4233" w:type="dxa"/>
            <w:tcBorders>
              <w:top w:val="single" w:sz="18" w:space="0" w:color="FFFFFF"/>
              <w:bottom w:val="single" w:sz="18" w:space="0" w:color="FFFFFF"/>
            </w:tcBorders>
            <w:shd w:val="pct20" w:color="auto" w:fill="auto"/>
          </w:tcPr>
          <w:p w:rsidR="008F795E" w:rsidRPr="00E95FA2" w:rsidRDefault="00DF70BC" w:rsidP="008F795E">
            <w:pPr>
              <w:rPr>
                <w:b/>
              </w:rPr>
            </w:pPr>
            <w:r w:rsidRPr="00E95FA2">
              <w:rPr>
                <w:b/>
              </w:rPr>
              <w:t>Effective Useful Life (years):</w:t>
            </w:r>
          </w:p>
        </w:tc>
        <w:tc>
          <w:tcPr>
            <w:tcW w:w="5487" w:type="dxa"/>
            <w:tcBorders>
              <w:top w:val="single" w:sz="18" w:space="0" w:color="FFFFFF"/>
              <w:bottom w:val="single" w:sz="18" w:space="0" w:color="FFFFFF"/>
            </w:tcBorders>
            <w:shd w:val="pct20" w:color="auto" w:fill="auto"/>
          </w:tcPr>
          <w:p w:rsidR="008F795E" w:rsidRPr="0099671C" w:rsidRDefault="00FD3428" w:rsidP="008F795E">
            <w:r w:rsidRPr="0099671C">
              <w:t>Source: DEER 2008, D03-207</w:t>
            </w:r>
          </w:p>
          <w:p w:rsidR="00FD3428" w:rsidRPr="0099671C" w:rsidRDefault="00FD3428" w:rsidP="008F795E">
            <w:r w:rsidRPr="0099671C">
              <w:t>Measure ID</w:t>
            </w:r>
            <w:r w:rsidR="00580281" w:rsidRPr="0099671C">
              <w:t xml:space="preserve"> – </w:t>
            </w:r>
            <w:r w:rsidRPr="0099671C">
              <w:t xml:space="preserve">Transaction Type </w:t>
            </w:r>
            <w:r w:rsidR="00580281" w:rsidRPr="0099671C">
              <w:t>–</w:t>
            </w:r>
            <w:r w:rsidRPr="0099671C">
              <w:t xml:space="preserve"> </w:t>
            </w:r>
            <w:r w:rsidR="00580281" w:rsidRPr="0099671C">
              <w:t>EUL (years)</w:t>
            </w:r>
          </w:p>
          <w:p w:rsidR="00580281" w:rsidRPr="0099671C" w:rsidRDefault="00057B54" w:rsidP="008F795E">
            <w:r>
              <w:t>R4:</w:t>
            </w:r>
            <w:r w:rsidR="00580281" w:rsidRPr="0099671C">
              <w:t xml:space="preserve"> ROB – 12 </w:t>
            </w:r>
          </w:p>
          <w:p w:rsidR="00580281" w:rsidRPr="0099671C" w:rsidRDefault="00057B54" w:rsidP="008F795E">
            <w:r>
              <w:t>R5:</w:t>
            </w:r>
            <w:r w:rsidR="00580281" w:rsidRPr="0099671C">
              <w:t xml:space="preserve"> ROB – 12 </w:t>
            </w:r>
          </w:p>
          <w:p w:rsidR="00CB66E0" w:rsidRPr="0099671C" w:rsidRDefault="00CB66E0" w:rsidP="008F795E"/>
        </w:tc>
      </w:tr>
      <w:tr w:rsidR="008F795E" w:rsidRPr="00E95FA2" w:rsidTr="00956589">
        <w:trPr>
          <w:trHeight w:val="465"/>
        </w:trPr>
        <w:tc>
          <w:tcPr>
            <w:tcW w:w="4233" w:type="dxa"/>
            <w:tcBorders>
              <w:top w:val="single" w:sz="18" w:space="0" w:color="FFFFFF"/>
              <w:bottom w:val="single" w:sz="18" w:space="0" w:color="FFFFFF"/>
            </w:tcBorders>
            <w:shd w:val="pct5" w:color="auto" w:fill="auto"/>
          </w:tcPr>
          <w:p w:rsidR="00956589" w:rsidRPr="00E95FA2" w:rsidRDefault="00956589" w:rsidP="008F795E">
            <w:pPr>
              <w:rPr>
                <w:b/>
              </w:rPr>
            </w:pPr>
            <w:r w:rsidRPr="00E95FA2">
              <w:rPr>
                <w:b/>
              </w:rPr>
              <w:t>Program Type:</w:t>
            </w:r>
          </w:p>
        </w:tc>
        <w:tc>
          <w:tcPr>
            <w:tcW w:w="5487" w:type="dxa"/>
            <w:tcBorders>
              <w:top w:val="single" w:sz="18" w:space="0" w:color="FFFFFF"/>
              <w:bottom w:val="single" w:sz="18" w:space="0" w:color="FFFFFF"/>
            </w:tcBorders>
            <w:shd w:val="pct5" w:color="auto" w:fill="auto"/>
          </w:tcPr>
          <w:p w:rsidR="008F795E" w:rsidRDefault="00FD3428" w:rsidP="008F795E">
            <w:r w:rsidRPr="0099671C">
              <w:t>Replace on Burnout (ROB) only.</w:t>
            </w:r>
          </w:p>
          <w:p w:rsidR="00CB66E0" w:rsidRPr="0099671C" w:rsidRDefault="00CB66E0" w:rsidP="008F795E"/>
        </w:tc>
      </w:tr>
      <w:tr w:rsidR="008F795E" w:rsidRPr="00E95FA2" w:rsidTr="00956589">
        <w:trPr>
          <w:trHeight w:val="465"/>
        </w:trPr>
        <w:tc>
          <w:tcPr>
            <w:tcW w:w="4233" w:type="dxa"/>
            <w:tcBorders>
              <w:top w:val="single" w:sz="18" w:space="0" w:color="FFFFFF"/>
              <w:bottom w:val="single" w:sz="18" w:space="0" w:color="FFFFFF"/>
            </w:tcBorders>
            <w:shd w:val="pct20" w:color="auto" w:fill="auto"/>
          </w:tcPr>
          <w:p w:rsidR="008F795E" w:rsidRPr="00E95FA2" w:rsidRDefault="00956589" w:rsidP="008F795E">
            <w:pPr>
              <w:rPr>
                <w:b/>
              </w:rPr>
            </w:pPr>
            <w:r w:rsidRPr="00E95FA2">
              <w:rPr>
                <w:b/>
              </w:rPr>
              <w:t>Net-to-Gross Ratios:</w:t>
            </w:r>
          </w:p>
        </w:tc>
        <w:tc>
          <w:tcPr>
            <w:tcW w:w="5487" w:type="dxa"/>
            <w:tcBorders>
              <w:top w:val="single" w:sz="18" w:space="0" w:color="FFFFFF"/>
              <w:bottom w:val="single" w:sz="18" w:space="0" w:color="FFFFFF"/>
            </w:tcBorders>
            <w:shd w:val="pct20" w:color="auto" w:fill="auto"/>
          </w:tcPr>
          <w:p w:rsidR="008F795E" w:rsidRDefault="00FD3428" w:rsidP="008F795E">
            <w:r w:rsidRPr="0099671C">
              <w:t>Source: Nonresidential Default, not listed in DEER. 0.6</w:t>
            </w:r>
          </w:p>
          <w:p w:rsidR="00CB66E0" w:rsidRPr="0099671C" w:rsidRDefault="00CB66E0" w:rsidP="008F795E"/>
        </w:tc>
      </w:tr>
      <w:tr w:rsidR="008F795E" w:rsidRPr="00E95FA2" w:rsidTr="00956589">
        <w:trPr>
          <w:trHeight w:val="465"/>
        </w:trPr>
        <w:tc>
          <w:tcPr>
            <w:tcW w:w="4233" w:type="dxa"/>
            <w:tcBorders>
              <w:top w:val="single" w:sz="18" w:space="0" w:color="FFFFFF"/>
              <w:bottom w:val="nil"/>
            </w:tcBorders>
            <w:shd w:val="pct5" w:color="auto" w:fill="auto"/>
          </w:tcPr>
          <w:p w:rsidR="008F795E" w:rsidRPr="00E95FA2" w:rsidRDefault="00956589" w:rsidP="008F795E">
            <w:pPr>
              <w:rPr>
                <w:b/>
              </w:rPr>
            </w:pPr>
            <w:r w:rsidRPr="00E95FA2">
              <w:rPr>
                <w:b/>
              </w:rPr>
              <w:t>Important Comments:</w:t>
            </w:r>
          </w:p>
        </w:tc>
        <w:tc>
          <w:tcPr>
            <w:tcW w:w="5487" w:type="dxa"/>
            <w:tcBorders>
              <w:top w:val="single" w:sz="18" w:space="0" w:color="FFFFFF"/>
              <w:bottom w:val="nil"/>
            </w:tcBorders>
            <w:shd w:val="pct5" w:color="auto" w:fill="auto"/>
          </w:tcPr>
          <w:p w:rsidR="007C622D" w:rsidRPr="0099671C" w:rsidRDefault="008B7E40" w:rsidP="008F795E">
            <w:r w:rsidRPr="0099671C">
              <w:t xml:space="preserve">Includes interactive effects with refrigeration systems </w:t>
            </w:r>
            <w:r w:rsidR="00CE5C05">
              <w:t>and</w:t>
            </w:r>
            <w:r w:rsidRPr="0099671C">
              <w:t xml:space="preserve"> with </w:t>
            </w:r>
            <w:r w:rsidR="00BF0A9C">
              <w:t xml:space="preserve">the </w:t>
            </w:r>
            <w:r w:rsidRPr="0099671C">
              <w:t>HVAC system.</w:t>
            </w:r>
          </w:p>
        </w:tc>
      </w:tr>
    </w:tbl>
    <w:p w:rsidR="00EB34FC" w:rsidRPr="00E95FA2" w:rsidRDefault="00EB34FC" w:rsidP="00AA6672">
      <w:pPr>
        <w:spacing w:after="200" w:line="276" w:lineRule="auto"/>
        <w:sectPr w:rsidR="00EB34FC" w:rsidRPr="00E95FA2" w:rsidSect="00745F0F">
          <w:pgSz w:w="12240" w:h="15840"/>
          <w:pgMar w:top="1440" w:right="1440" w:bottom="1440" w:left="1440" w:header="720" w:footer="720" w:gutter="0"/>
          <w:pgNumType w:fmt="lowerRoman"/>
          <w:cols w:space="720"/>
          <w:docGrid w:linePitch="360"/>
        </w:sectPr>
      </w:pPr>
    </w:p>
    <w:p w:rsidR="00EB34FC" w:rsidRPr="00E95FA2" w:rsidRDefault="00EB34FC" w:rsidP="006C578E">
      <w:pPr>
        <w:pStyle w:val="Heading1"/>
      </w:pPr>
      <w:bookmarkStart w:id="5" w:name="_Toc386465482"/>
      <w:r w:rsidRPr="00E95FA2">
        <w:t>Document Re</w:t>
      </w:r>
      <w:r w:rsidRPr="006A672C">
        <w:t>v</w:t>
      </w:r>
      <w:r w:rsidRPr="00E95FA2">
        <w:t>ision History</w:t>
      </w:r>
      <w:bookmarkEnd w:id="5"/>
    </w:p>
    <w:tbl>
      <w:tblPr>
        <w:tblW w:w="4699" w:type="pct"/>
        <w:tblInd w:w="108" w:type="dxa"/>
        <w:tblBorders>
          <w:bottom w:val="single" w:sz="18" w:space="0" w:color="FFFFFF"/>
          <w:insideV w:val="single" w:sz="18" w:space="0" w:color="FFFFFF"/>
        </w:tblBorders>
        <w:tblCellMar>
          <w:left w:w="0" w:type="dxa"/>
          <w:right w:w="0" w:type="dxa"/>
        </w:tblCellMar>
        <w:tblLook w:val="04A0" w:firstRow="1" w:lastRow="0" w:firstColumn="1" w:lastColumn="0" w:noHBand="0" w:noVBand="1"/>
      </w:tblPr>
      <w:tblGrid>
        <w:gridCol w:w="1649"/>
        <w:gridCol w:w="1413"/>
        <w:gridCol w:w="3204"/>
        <w:gridCol w:w="2734"/>
      </w:tblGrid>
      <w:tr w:rsidR="00241171" w:rsidRPr="00E95FA2" w:rsidTr="00241171">
        <w:trPr>
          <w:trHeight w:val="464"/>
        </w:trPr>
        <w:tc>
          <w:tcPr>
            <w:tcW w:w="916" w:type="pct"/>
            <w:shd w:val="clear" w:color="auto" w:fill="CCCCCC"/>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Developed From</w:t>
            </w:r>
          </w:p>
        </w:tc>
        <w:tc>
          <w:tcPr>
            <w:tcW w:w="785" w:type="pct"/>
            <w:shd w:val="clear" w:color="auto" w:fill="CCCCCC"/>
            <w:tcMar>
              <w:top w:w="0" w:type="dxa"/>
              <w:left w:w="108" w:type="dxa"/>
              <w:bottom w:w="0" w:type="dxa"/>
              <w:right w:w="108" w:type="dxa"/>
            </w:tcMar>
          </w:tcPr>
          <w:p w:rsidR="00241171" w:rsidRPr="00E95FA2" w:rsidRDefault="00241171" w:rsidP="00241171">
            <w:pPr>
              <w:rPr>
                <w:rFonts w:eastAsia="Calibri"/>
                <w:b/>
                <w:bCs/>
                <w:highlight w:val="yellow"/>
              </w:rPr>
            </w:pPr>
            <w:r w:rsidRPr="00E95FA2">
              <w:rPr>
                <w:rFonts w:eastAsia="Calibri"/>
                <w:b/>
                <w:bCs/>
              </w:rPr>
              <w:t>10/15/2007</w:t>
            </w:r>
          </w:p>
        </w:tc>
        <w:tc>
          <w:tcPr>
            <w:tcW w:w="1780" w:type="pct"/>
            <w:shd w:val="clear" w:color="auto" w:fill="CCCCCC"/>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New Low and Medium Temperature Display Cases with Doors WPSCNRRN0008 (re.1.2007).</w:t>
            </w:r>
          </w:p>
        </w:tc>
        <w:tc>
          <w:tcPr>
            <w:tcW w:w="1519" w:type="pct"/>
            <w:shd w:val="clear" w:color="auto" w:fill="CCCCCC"/>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Southern California Edison</w:t>
            </w:r>
          </w:p>
        </w:tc>
      </w:tr>
      <w:tr w:rsidR="00241171" w:rsidRPr="00E95FA2" w:rsidTr="00241171">
        <w:trPr>
          <w:trHeight w:val="464"/>
        </w:trPr>
        <w:tc>
          <w:tcPr>
            <w:tcW w:w="916" w:type="pct"/>
            <w:shd w:val="clear" w:color="auto" w:fill="F2F2F2"/>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Revision 0</w:t>
            </w:r>
          </w:p>
        </w:tc>
        <w:tc>
          <w:tcPr>
            <w:tcW w:w="785" w:type="pct"/>
            <w:shd w:val="clear" w:color="auto" w:fill="F2F2F2"/>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04/16/08</w:t>
            </w:r>
          </w:p>
        </w:tc>
        <w:tc>
          <w:tcPr>
            <w:tcW w:w="1780" w:type="pct"/>
            <w:shd w:val="clear" w:color="auto" w:fill="F2F2F2"/>
            <w:tcMar>
              <w:top w:w="0" w:type="dxa"/>
              <w:left w:w="108" w:type="dxa"/>
              <w:bottom w:w="0" w:type="dxa"/>
              <w:right w:w="108" w:type="dxa"/>
            </w:tcMar>
          </w:tcPr>
          <w:p w:rsidR="00241171" w:rsidRPr="00E95FA2" w:rsidRDefault="00261D98" w:rsidP="00241171">
            <w:pPr>
              <w:rPr>
                <w:rFonts w:eastAsia="Calibri"/>
                <w:b/>
                <w:bCs/>
              </w:rPr>
            </w:pPr>
            <w:r w:rsidRPr="00E95FA2">
              <w:rPr>
                <w:rFonts w:eastAsia="Calibri"/>
                <w:b/>
                <w:bCs/>
              </w:rPr>
              <w:t>New Refrigeration Display Cases with Doors PGECOREF104 R0.doc</w:t>
            </w:r>
          </w:p>
        </w:tc>
        <w:tc>
          <w:tcPr>
            <w:tcW w:w="1519" w:type="pct"/>
            <w:shd w:val="clear" w:color="auto" w:fill="F2F2F2"/>
            <w:tcMar>
              <w:top w:w="0" w:type="dxa"/>
              <w:left w:w="108" w:type="dxa"/>
              <w:bottom w:w="0" w:type="dxa"/>
              <w:right w:w="108" w:type="dxa"/>
            </w:tcMar>
          </w:tcPr>
          <w:p w:rsidR="00241171" w:rsidRPr="00E95FA2" w:rsidRDefault="00261D98" w:rsidP="00241171">
            <w:pPr>
              <w:rPr>
                <w:rFonts w:eastAsia="Calibri"/>
                <w:b/>
                <w:bCs/>
              </w:rPr>
            </w:pPr>
            <w:proofErr w:type="spellStart"/>
            <w:r w:rsidRPr="00E95FA2">
              <w:rPr>
                <w:rFonts w:eastAsia="Calibri"/>
                <w:b/>
                <w:bCs/>
              </w:rPr>
              <w:t>Sanjiy</w:t>
            </w:r>
            <w:proofErr w:type="spellEnd"/>
            <w:r w:rsidRPr="00E95FA2">
              <w:rPr>
                <w:rFonts w:eastAsia="Calibri"/>
                <w:b/>
                <w:bCs/>
              </w:rPr>
              <w:t xml:space="preserve"> </w:t>
            </w:r>
            <w:proofErr w:type="spellStart"/>
            <w:r w:rsidRPr="00E95FA2">
              <w:rPr>
                <w:rFonts w:eastAsia="Calibri"/>
                <w:b/>
                <w:bCs/>
              </w:rPr>
              <w:t>Deynani</w:t>
            </w:r>
            <w:proofErr w:type="spellEnd"/>
            <w:r w:rsidRPr="00E95FA2">
              <w:rPr>
                <w:rFonts w:eastAsia="Calibri"/>
                <w:b/>
                <w:bCs/>
              </w:rPr>
              <w:t>, P.E. (kW Engineering, Inc.)</w:t>
            </w:r>
          </w:p>
        </w:tc>
      </w:tr>
      <w:tr w:rsidR="00241171" w:rsidRPr="00E95FA2" w:rsidTr="00241171">
        <w:trPr>
          <w:trHeight w:val="464"/>
        </w:trPr>
        <w:tc>
          <w:tcPr>
            <w:tcW w:w="916" w:type="pct"/>
            <w:shd w:val="clear" w:color="auto" w:fill="CCCCCC"/>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Revision 1</w:t>
            </w:r>
          </w:p>
        </w:tc>
        <w:tc>
          <w:tcPr>
            <w:tcW w:w="785" w:type="pct"/>
            <w:shd w:val="clear" w:color="auto" w:fill="CCCCCC"/>
            <w:tcMar>
              <w:top w:w="0" w:type="dxa"/>
              <w:left w:w="108" w:type="dxa"/>
              <w:bottom w:w="0" w:type="dxa"/>
              <w:right w:w="108" w:type="dxa"/>
            </w:tcMar>
          </w:tcPr>
          <w:p w:rsidR="00241171" w:rsidRPr="00E95FA2" w:rsidRDefault="006A3112" w:rsidP="00241171">
            <w:pPr>
              <w:rPr>
                <w:rFonts w:eastAsia="Calibri"/>
                <w:b/>
                <w:bCs/>
              </w:rPr>
            </w:pPr>
            <w:r w:rsidRPr="00E95FA2">
              <w:rPr>
                <w:rFonts w:eastAsia="Calibri"/>
                <w:b/>
                <w:bCs/>
              </w:rPr>
              <w:t>05/29/2009</w:t>
            </w:r>
          </w:p>
        </w:tc>
        <w:tc>
          <w:tcPr>
            <w:tcW w:w="1780" w:type="pct"/>
            <w:shd w:val="clear" w:color="auto" w:fill="CCCCCC"/>
            <w:tcMar>
              <w:top w:w="0" w:type="dxa"/>
              <w:left w:w="108" w:type="dxa"/>
              <w:bottom w:w="0" w:type="dxa"/>
              <w:right w:w="108" w:type="dxa"/>
            </w:tcMar>
          </w:tcPr>
          <w:p w:rsidR="00241171" w:rsidRPr="00E95FA2" w:rsidRDefault="006A3112" w:rsidP="00241171">
            <w:pPr>
              <w:rPr>
                <w:rFonts w:eastAsia="Calibri"/>
                <w:b/>
                <w:bCs/>
              </w:rPr>
            </w:pPr>
            <w:r w:rsidRPr="00E95FA2">
              <w:rPr>
                <w:rFonts w:eastAsia="Calibri"/>
                <w:b/>
                <w:bCs/>
              </w:rPr>
              <w:t>Updated NTG and IMC to match DEER2008. Minor editorial changes.</w:t>
            </w:r>
          </w:p>
        </w:tc>
        <w:tc>
          <w:tcPr>
            <w:tcW w:w="1519" w:type="pct"/>
            <w:shd w:val="clear" w:color="auto" w:fill="CCCCCC"/>
            <w:tcMar>
              <w:top w:w="0" w:type="dxa"/>
              <w:left w:w="108" w:type="dxa"/>
              <w:bottom w:w="0" w:type="dxa"/>
              <w:right w:w="108" w:type="dxa"/>
            </w:tcMar>
          </w:tcPr>
          <w:p w:rsidR="00241171" w:rsidRPr="00E95FA2" w:rsidRDefault="006A3112" w:rsidP="00241171">
            <w:pPr>
              <w:rPr>
                <w:rFonts w:eastAsia="Calibri"/>
                <w:b/>
                <w:bCs/>
              </w:rPr>
            </w:pPr>
            <w:r w:rsidRPr="00E95FA2">
              <w:rPr>
                <w:rFonts w:eastAsia="Calibri"/>
                <w:b/>
                <w:bCs/>
              </w:rPr>
              <w:t>Michele Friedrich (PG&amp;E)</w:t>
            </w:r>
          </w:p>
        </w:tc>
      </w:tr>
      <w:tr w:rsidR="00241171" w:rsidRPr="00E95FA2" w:rsidTr="00241171">
        <w:trPr>
          <w:trHeight w:val="464"/>
        </w:trPr>
        <w:tc>
          <w:tcPr>
            <w:tcW w:w="916" w:type="pct"/>
            <w:shd w:val="clear" w:color="auto" w:fill="F2F2F2"/>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Revision 1</w:t>
            </w:r>
          </w:p>
        </w:tc>
        <w:tc>
          <w:tcPr>
            <w:tcW w:w="785" w:type="pct"/>
            <w:shd w:val="clear" w:color="auto" w:fill="F2F2F2"/>
            <w:tcMar>
              <w:top w:w="0" w:type="dxa"/>
              <w:left w:w="108" w:type="dxa"/>
              <w:bottom w:w="0" w:type="dxa"/>
              <w:right w:w="108" w:type="dxa"/>
            </w:tcMar>
          </w:tcPr>
          <w:p w:rsidR="00241171" w:rsidRPr="00E95FA2" w:rsidRDefault="006A3112" w:rsidP="00241171">
            <w:pPr>
              <w:rPr>
                <w:rFonts w:eastAsia="Calibri"/>
                <w:b/>
                <w:bCs/>
              </w:rPr>
            </w:pPr>
            <w:r w:rsidRPr="00E95FA2">
              <w:rPr>
                <w:rFonts w:eastAsia="Calibri"/>
                <w:b/>
                <w:bCs/>
              </w:rPr>
              <w:t>11/10/09</w:t>
            </w:r>
          </w:p>
        </w:tc>
        <w:tc>
          <w:tcPr>
            <w:tcW w:w="1780" w:type="pct"/>
            <w:shd w:val="clear" w:color="auto" w:fill="F2F2F2"/>
            <w:tcMar>
              <w:top w:w="0" w:type="dxa"/>
              <w:left w:w="108" w:type="dxa"/>
              <w:bottom w:w="0" w:type="dxa"/>
              <w:right w:w="108" w:type="dxa"/>
            </w:tcMar>
          </w:tcPr>
          <w:p w:rsidR="00241171" w:rsidRPr="00E95FA2" w:rsidRDefault="00B164B8" w:rsidP="00241171">
            <w:pPr>
              <w:rPr>
                <w:rFonts w:eastAsia="Calibri"/>
                <w:b/>
                <w:bCs/>
              </w:rPr>
            </w:pPr>
            <w:r w:rsidRPr="00E95FA2">
              <w:rPr>
                <w:rFonts w:eastAsia="Calibri"/>
                <w:b/>
                <w:bCs/>
              </w:rPr>
              <w:t>Added OTR to Climate Zone and Vintage Type in AT-A-Glance table</w:t>
            </w:r>
            <w:r w:rsidR="003108E0" w:rsidRPr="00E95FA2">
              <w:rPr>
                <w:rFonts w:eastAsia="Calibri"/>
                <w:b/>
                <w:bCs/>
              </w:rPr>
              <w:t>.</w:t>
            </w:r>
          </w:p>
        </w:tc>
        <w:tc>
          <w:tcPr>
            <w:tcW w:w="1519" w:type="pct"/>
            <w:shd w:val="clear" w:color="auto" w:fill="F2F2F2"/>
            <w:tcMar>
              <w:top w:w="0" w:type="dxa"/>
              <w:left w:w="108" w:type="dxa"/>
              <w:bottom w:w="0" w:type="dxa"/>
              <w:right w:w="108" w:type="dxa"/>
            </w:tcMar>
          </w:tcPr>
          <w:p w:rsidR="00241171" w:rsidRPr="00E95FA2" w:rsidRDefault="00B164B8" w:rsidP="00241171">
            <w:pPr>
              <w:rPr>
                <w:rFonts w:eastAsia="Calibri"/>
                <w:b/>
              </w:rPr>
            </w:pPr>
            <w:r w:rsidRPr="00E95FA2">
              <w:rPr>
                <w:rFonts w:eastAsia="Calibri"/>
                <w:b/>
              </w:rPr>
              <w:t>Andrew Wieszczyk</w:t>
            </w:r>
            <w:r w:rsidR="0018345B">
              <w:rPr>
                <w:rFonts w:eastAsia="Calibri"/>
                <w:b/>
              </w:rPr>
              <w:t xml:space="preserve"> (PG&amp;E)</w:t>
            </w:r>
          </w:p>
        </w:tc>
      </w:tr>
      <w:tr w:rsidR="00241171" w:rsidRPr="00E95FA2" w:rsidTr="00241171">
        <w:trPr>
          <w:trHeight w:val="464"/>
        </w:trPr>
        <w:tc>
          <w:tcPr>
            <w:tcW w:w="916" w:type="pct"/>
            <w:shd w:val="clear" w:color="auto" w:fill="CCCCCC"/>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Revision 2</w:t>
            </w:r>
          </w:p>
        </w:tc>
        <w:tc>
          <w:tcPr>
            <w:tcW w:w="785" w:type="pct"/>
            <w:shd w:val="clear" w:color="auto" w:fill="CCCCCC"/>
            <w:tcMar>
              <w:top w:w="0" w:type="dxa"/>
              <w:left w:w="108" w:type="dxa"/>
              <w:bottom w:w="0" w:type="dxa"/>
              <w:right w:w="108" w:type="dxa"/>
            </w:tcMar>
          </w:tcPr>
          <w:p w:rsidR="00241171" w:rsidRPr="00E95FA2" w:rsidRDefault="0039544E" w:rsidP="00241171">
            <w:pPr>
              <w:rPr>
                <w:rFonts w:eastAsia="Calibri"/>
                <w:b/>
                <w:bCs/>
              </w:rPr>
            </w:pPr>
            <w:r w:rsidRPr="00E95FA2">
              <w:rPr>
                <w:rFonts w:eastAsia="Calibri"/>
                <w:b/>
                <w:bCs/>
              </w:rPr>
              <w:t>3/8/2010</w:t>
            </w:r>
          </w:p>
        </w:tc>
        <w:tc>
          <w:tcPr>
            <w:tcW w:w="1780" w:type="pct"/>
            <w:shd w:val="clear" w:color="auto" w:fill="CCCCCC"/>
            <w:tcMar>
              <w:top w:w="0" w:type="dxa"/>
              <w:left w:w="108" w:type="dxa"/>
              <w:bottom w:w="0" w:type="dxa"/>
              <w:right w:w="108" w:type="dxa"/>
            </w:tcMar>
          </w:tcPr>
          <w:p w:rsidR="00241171" w:rsidRPr="00E95FA2" w:rsidRDefault="00656F06" w:rsidP="00241171">
            <w:pPr>
              <w:rPr>
                <w:rFonts w:eastAsia="Calibri"/>
                <w:b/>
                <w:bCs/>
              </w:rPr>
            </w:pPr>
            <w:r w:rsidRPr="00E95FA2">
              <w:rPr>
                <w:rFonts w:eastAsia="Calibri"/>
                <w:b/>
                <w:bCs/>
              </w:rPr>
              <w:t>Updated NTG</w:t>
            </w:r>
          </w:p>
        </w:tc>
        <w:tc>
          <w:tcPr>
            <w:tcW w:w="1519" w:type="pct"/>
            <w:shd w:val="clear" w:color="auto" w:fill="CCCCCC"/>
            <w:tcMar>
              <w:top w:w="0" w:type="dxa"/>
              <w:left w:w="108" w:type="dxa"/>
              <w:bottom w:w="0" w:type="dxa"/>
              <w:right w:w="108" w:type="dxa"/>
            </w:tcMar>
          </w:tcPr>
          <w:p w:rsidR="00241171" w:rsidRPr="00E95FA2" w:rsidRDefault="00B164B8" w:rsidP="00241171">
            <w:pPr>
              <w:rPr>
                <w:rFonts w:eastAsia="Calibri"/>
              </w:rPr>
            </w:pPr>
            <w:r w:rsidRPr="00E95FA2">
              <w:rPr>
                <w:rFonts w:eastAsia="Calibri"/>
                <w:b/>
              </w:rPr>
              <w:t>Andrew Wieszczyk</w:t>
            </w:r>
            <w:r w:rsidR="0018345B">
              <w:rPr>
                <w:rFonts w:eastAsia="Calibri"/>
                <w:b/>
              </w:rPr>
              <w:t xml:space="preserve"> (PG&amp;E)</w:t>
            </w:r>
          </w:p>
        </w:tc>
      </w:tr>
      <w:tr w:rsidR="00241171" w:rsidRPr="00E95FA2" w:rsidTr="00241171">
        <w:trPr>
          <w:trHeight w:val="464"/>
        </w:trPr>
        <w:tc>
          <w:tcPr>
            <w:tcW w:w="916" w:type="pct"/>
            <w:shd w:val="clear" w:color="auto" w:fill="F2F2F2"/>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Revision 3</w:t>
            </w:r>
          </w:p>
        </w:tc>
        <w:tc>
          <w:tcPr>
            <w:tcW w:w="785" w:type="pct"/>
            <w:shd w:val="clear" w:color="auto" w:fill="F2F2F2"/>
            <w:tcMar>
              <w:top w:w="0" w:type="dxa"/>
              <w:left w:w="108" w:type="dxa"/>
              <w:bottom w:w="0" w:type="dxa"/>
              <w:right w:w="108" w:type="dxa"/>
            </w:tcMar>
          </w:tcPr>
          <w:p w:rsidR="00241171" w:rsidRPr="00E95FA2" w:rsidRDefault="0039544E" w:rsidP="00241171">
            <w:pPr>
              <w:rPr>
                <w:rFonts w:eastAsia="Calibri"/>
                <w:b/>
                <w:bCs/>
              </w:rPr>
            </w:pPr>
            <w:r w:rsidRPr="00E95FA2">
              <w:rPr>
                <w:rFonts w:eastAsia="Calibri"/>
                <w:b/>
                <w:bCs/>
              </w:rPr>
              <w:t>8/10/2011</w:t>
            </w:r>
          </w:p>
        </w:tc>
        <w:tc>
          <w:tcPr>
            <w:tcW w:w="1780" w:type="pct"/>
            <w:shd w:val="clear" w:color="auto" w:fill="F2F2F2"/>
            <w:tcMar>
              <w:top w:w="0" w:type="dxa"/>
              <w:left w:w="108" w:type="dxa"/>
              <w:bottom w:w="0" w:type="dxa"/>
              <w:right w:w="108" w:type="dxa"/>
            </w:tcMar>
          </w:tcPr>
          <w:p w:rsidR="00656F06" w:rsidRPr="00E95FA2" w:rsidRDefault="00656F06" w:rsidP="00241171">
            <w:pPr>
              <w:rPr>
                <w:rFonts w:eastAsia="Calibri"/>
                <w:b/>
                <w:bCs/>
              </w:rPr>
            </w:pPr>
            <w:r w:rsidRPr="00E95FA2">
              <w:rPr>
                <w:rFonts w:eastAsia="Calibri"/>
                <w:b/>
                <w:bCs/>
              </w:rPr>
              <w:t>Incorporated ED recommendations provided for Attachment A work papers.</w:t>
            </w:r>
          </w:p>
        </w:tc>
        <w:tc>
          <w:tcPr>
            <w:tcW w:w="1519" w:type="pct"/>
            <w:shd w:val="clear" w:color="auto" w:fill="F2F2F2"/>
            <w:tcMar>
              <w:top w:w="0" w:type="dxa"/>
              <w:left w:w="108" w:type="dxa"/>
              <w:bottom w:w="0" w:type="dxa"/>
              <w:right w:w="108" w:type="dxa"/>
            </w:tcMar>
          </w:tcPr>
          <w:p w:rsidR="00241171" w:rsidRPr="00543532" w:rsidRDefault="00B164B8" w:rsidP="0018345B">
            <w:pPr>
              <w:rPr>
                <w:rFonts w:eastAsia="Calibri"/>
                <w:b/>
              </w:rPr>
            </w:pPr>
            <w:r w:rsidRPr="00543532">
              <w:rPr>
                <w:rFonts w:eastAsia="Calibri"/>
                <w:b/>
              </w:rPr>
              <w:t>Edwin Huestis</w:t>
            </w:r>
            <w:r w:rsidR="0018345B">
              <w:rPr>
                <w:rFonts w:eastAsia="Calibri"/>
                <w:b/>
              </w:rPr>
              <w:t xml:space="preserve"> (</w:t>
            </w:r>
            <w:r w:rsidRPr="00543532">
              <w:rPr>
                <w:rFonts w:eastAsia="Calibri"/>
                <w:b/>
              </w:rPr>
              <w:t>PG&amp;E</w:t>
            </w:r>
            <w:r w:rsidR="0018345B">
              <w:rPr>
                <w:rFonts w:eastAsia="Calibri"/>
                <w:b/>
              </w:rPr>
              <w:t>)</w:t>
            </w:r>
          </w:p>
        </w:tc>
      </w:tr>
      <w:tr w:rsidR="00241171" w:rsidRPr="00E95FA2" w:rsidTr="00241171">
        <w:trPr>
          <w:trHeight w:val="464"/>
        </w:trPr>
        <w:tc>
          <w:tcPr>
            <w:tcW w:w="916" w:type="pct"/>
            <w:shd w:val="clear" w:color="auto" w:fill="BFBFBF"/>
            <w:tcMar>
              <w:top w:w="0" w:type="dxa"/>
              <w:left w:w="108" w:type="dxa"/>
              <w:bottom w:w="0" w:type="dxa"/>
              <w:right w:w="108" w:type="dxa"/>
            </w:tcMar>
          </w:tcPr>
          <w:p w:rsidR="00241171" w:rsidRPr="00E95FA2" w:rsidRDefault="00241171" w:rsidP="00241171">
            <w:pPr>
              <w:rPr>
                <w:rFonts w:eastAsia="Calibri"/>
                <w:b/>
                <w:bCs/>
              </w:rPr>
            </w:pPr>
            <w:r w:rsidRPr="00E95FA2">
              <w:rPr>
                <w:rFonts w:eastAsia="Calibri"/>
                <w:b/>
                <w:bCs/>
              </w:rPr>
              <w:t>Revision 4</w:t>
            </w:r>
          </w:p>
        </w:tc>
        <w:tc>
          <w:tcPr>
            <w:tcW w:w="785" w:type="pct"/>
            <w:shd w:val="clear" w:color="auto" w:fill="BFBFBF"/>
            <w:tcMar>
              <w:top w:w="0" w:type="dxa"/>
              <w:left w:w="108" w:type="dxa"/>
              <w:bottom w:w="0" w:type="dxa"/>
              <w:right w:w="108" w:type="dxa"/>
            </w:tcMar>
          </w:tcPr>
          <w:p w:rsidR="00241171" w:rsidRPr="00E95FA2" w:rsidRDefault="0039544E" w:rsidP="00241171">
            <w:pPr>
              <w:rPr>
                <w:rFonts w:eastAsia="Calibri"/>
                <w:b/>
                <w:bCs/>
              </w:rPr>
            </w:pPr>
            <w:r w:rsidRPr="00E95FA2">
              <w:rPr>
                <w:rFonts w:eastAsia="Calibri"/>
                <w:b/>
                <w:bCs/>
              </w:rPr>
              <w:t>05/11/2012</w:t>
            </w:r>
          </w:p>
        </w:tc>
        <w:tc>
          <w:tcPr>
            <w:tcW w:w="1780" w:type="pct"/>
            <w:shd w:val="clear" w:color="auto" w:fill="BFBFBF"/>
            <w:tcMar>
              <w:top w:w="0" w:type="dxa"/>
              <w:left w:w="108" w:type="dxa"/>
              <w:bottom w:w="0" w:type="dxa"/>
              <w:right w:w="108" w:type="dxa"/>
            </w:tcMar>
          </w:tcPr>
          <w:p w:rsidR="00241171" w:rsidRPr="00E95FA2" w:rsidRDefault="003108E0" w:rsidP="00241171">
            <w:pPr>
              <w:rPr>
                <w:rFonts w:eastAsia="Calibri"/>
                <w:b/>
                <w:bCs/>
              </w:rPr>
            </w:pPr>
            <w:r w:rsidRPr="00E95FA2">
              <w:rPr>
                <w:rFonts w:eastAsia="Calibri"/>
                <w:b/>
                <w:bCs/>
              </w:rPr>
              <w:t>Adopted SCE Work Paper SCE13RN008.</w:t>
            </w:r>
          </w:p>
        </w:tc>
        <w:tc>
          <w:tcPr>
            <w:tcW w:w="1519" w:type="pct"/>
            <w:shd w:val="clear" w:color="auto" w:fill="BFBFBF"/>
            <w:tcMar>
              <w:top w:w="0" w:type="dxa"/>
              <w:left w:w="108" w:type="dxa"/>
              <w:bottom w:w="0" w:type="dxa"/>
              <w:right w:w="108" w:type="dxa"/>
            </w:tcMar>
          </w:tcPr>
          <w:p w:rsidR="00B164B8" w:rsidRPr="00E95FA2" w:rsidRDefault="00B164B8" w:rsidP="00241171">
            <w:pPr>
              <w:rPr>
                <w:rFonts w:eastAsia="Calibri"/>
                <w:b/>
                <w:bCs/>
              </w:rPr>
            </w:pPr>
            <w:r w:rsidRPr="00E95FA2">
              <w:rPr>
                <w:rFonts w:eastAsia="Calibri"/>
                <w:b/>
                <w:bCs/>
              </w:rPr>
              <w:t xml:space="preserve">Yin </w:t>
            </w:r>
            <w:proofErr w:type="spellStart"/>
            <w:r w:rsidRPr="00E95FA2">
              <w:rPr>
                <w:rFonts w:eastAsia="Calibri"/>
                <w:b/>
                <w:bCs/>
              </w:rPr>
              <w:t>Yin</w:t>
            </w:r>
            <w:proofErr w:type="spellEnd"/>
            <w:r w:rsidRPr="00E95FA2">
              <w:rPr>
                <w:rFonts w:eastAsia="Calibri"/>
                <w:b/>
                <w:bCs/>
              </w:rPr>
              <w:t xml:space="preserve"> Wu/BASE Energy, Inc. </w:t>
            </w:r>
          </w:p>
          <w:p w:rsidR="00241171" w:rsidRPr="00E95FA2" w:rsidRDefault="00B164B8" w:rsidP="00241171">
            <w:pPr>
              <w:rPr>
                <w:rFonts w:eastAsia="Calibri"/>
                <w:b/>
                <w:bCs/>
              </w:rPr>
            </w:pPr>
            <w:r w:rsidRPr="00E95FA2">
              <w:rPr>
                <w:rFonts w:eastAsia="Calibri"/>
                <w:b/>
                <w:bCs/>
              </w:rPr>
              <w:t>Chris Fernandez/BASE Energy, Inc.</w:t>
            </w:r>
          </w:p>
        </w:tc>
      </w:tr>
      <w:tr w:rsidR="00241171" w:rsidRPr="00E95FA2" w:rsidTr="00241171">
        <w:trPr>
          <w:trHeight w:val="738"/>
        </w:trPr>
        <w:tc>
          <w:tcPr>
            <w:tcW w:w="916" w:type="pct"/>
            <w:shd w:val="clear" w:color="auto" w:fill="F2F2F2"/>
            <w:tcMar>
              <w:top w:w="0" w:type="dxa"/>
              <w:left w:w="108" w:type="dxa"/>
              <w:bottom w:w="0" w:type="dxa"/>
              <w:right w:w="108" w:type="dxa"/>
            </w:tcMar>
          </w:tcPr>
          <w:p w:rsidR="00241171" w:rsidRPr="00E95FA2" w:rsidRDefault="00241171" w:rsidP="00241171">
            <w:pPr>
              <w:rPr>
                <w:b/>
                <w:bCs/>
              </w:rPr>
            </w:pPr>
            <w:r w:rsidRPr="00E95FA2">
              <w:rPr>
                <w:b/>
                <w:bCs/>
              </w:rPr>
              <w:t>Revision 5</w:t>
            </w:r>
          </w:p>
        </w:tc>
        <w:tc>
          <w:tcPr>
            <w:tcW w:w="785" w:type="pct"/>
            <w:shd w:val="clear" w:color="auto" w:fill="F2F2F2"/>
            <w:tcMar>
              <w:top w:w="0" w:type="dxa"/>
              <w:left w:w="108" w:type="dxa"/>
              <w:bottom w:w="0" w:type="dxa"/>
              <w:right w:w="108" w:type="dxa"/>
            </w:tcMar>
          </w:tcPr>
          <w:p w:rsidR="00241171" w:rsidRPr="00E95FA2" w:rsidRDefault="00251FE8" w:rsidP="00241171">
            <w:pPr>
              <w:rPr>
                <w:b/>
                <w:bCs/>
              </w:rPr>
            </w:pPr>
            <w:r>
              <w:rPr>
                <w:b/>
                <w:bCs/>
              </w:rPr>
              <w:t>5/20</w:t>
            </w:r>
            <w:r w:rsidR="00935DA2" w:rsidRPr="00E95FA2">
              <w:rPr>
                <w:b/>
                <w:bCs/>
              </w:rPr>
              <w:t>/2014</w:t>
            </w:r>
          </w:p>
        </w:tc>
        <w:tc>
          <w:tcPr>
            <w:tcW w:w="1780" w:type="pct"/>
            <w:shd w:val="clear" w:color="auto" w:fill="F2F2F2"/>
            <w:tcMar>
              <w:top w:w="0" w:type="dxa"/>
              <w:left w:w="108" w:type="dxa"/>
              <w:bottom w:w="0" w:type="dxa"/>
              <w:right w:w="108" w:type="dxa"/>
            </w:tcMar>
          </w:tcPr>
          <w:p w:rsidR="00241171" w:rsidRPr="00E95FA2" w:rsidRDefault="003108E0" w:rsidP="00241171">
            <w:pPr>
              <w:rPr>
                <w:b/>
                <w:bCs/>
              </w:rPr>
            </w:pPr>
            <w:r w:rsidRPr="00E95FA2">
              <w:rPr>
                <w:b/>
                <w:bCs/>
              </w:rPr>
              <w:t>Incorporated 2012 Federal Code Updates for Refrigerated Case Baselines.</w:t>
            </w:r>
          </w:p>
        </w:tc>
        <w:tc>
          <w:tcPr>
            <w:tcW w:w="1519" w:type="pct"/>
            <w:shd w:val="clear" w:color="auto" w:fill="F2F2F2"/>
            <w:tcMar>
              <w:top w:w="0" w:type="dxa"/>
              <w:left w:w="108" w:type="dxa"/>
              <w:bottom w:w="0" w:type="dxa"/>
              <w:right w:w="108" w:type="dxa"/>
            </w:tcMar>
          </w:tcPr>
          <w:p w:rsidR="00241171" w:rsidRDefault="0082162F" w:rsidP="0082162F">
            <w:pPr>
              <w:rPr>
                <w:b/>
                <w:bCs/>
              </w:rPr>
            </w:pPr>
            <w:r>
              <w:rPr>
                <w:b/>
                <w:bCs/>
              </w:rPr>
              <w:t>Jason Ochs</w:t>
            </w:r>
            <w:r w:rsidR="00293EA2" w:rsidRPr="00E95FA2">
              <w:rPr>
                <w:b/>
                <w:bCs/>
              </w:rPr>
              <w:t>, E</w:t>
            </w:r>
            <w:r>
              <w:rPr>
                <w:b/>
                <w:bCs/>
              </w:rPr>
              <w:t>IT</w:t>
            </w:r>
            <w:r w:rsidR="00293EA2" w:rsidRPr="00E95FA2">
              <w:rPr>
                <w:b/>
                <w:bCs/>
              </w:rPr>
              <w:t xml:space="preserve"> (PECI)</w:t>
            </w:r>
          </w:p>
          <w:p w:rsidR="00251FE8" w:rsidRPr="00E95FA2" w:rsidRDefault="00251FE8" w:rsidP="0082162F">
            <w:pPr>
              <w:rPr>
                <w:b/>
                <w:bCs/>
              </w:rPr>
            </w:pPr>
            <w:r>
              <w:rPr>
                <w:b/>
                <w:bCs/>
              </w:rPr>
              <w:t>Jim Wyatt, (PG&amp;E)</w:t>
            </w:r>
          </w:p>
        </w:tc>
      </w:tr>
    </w:tbl>
    <w:p w:rsidR="00AA0833" w:rsidRDefault="00AA0833" w:rsidP="00DA690B">
      <w:pPr>
        <w:sectPr w:rsidR="00AA0833" w:rsidSect="00AA0833">
          <w:headerReference w:type="even" r:id="rId14"/>
          <w:headerReference w:type="default" r:id="rId15"/>
          <w:footerReference w:type="default" r:id="rId16"/>
          <w:headerReference w:type="first" r:id="rId17"/>
          <w:endnotePr>
            <w:numFmt w:val="decimal"/>
          </w:endnotePr>
          <w:type w:val="continuous"/>
          <w:pgSz w:w="12240" w:h="15840"/>
          <w:pgMar w:top="1440" w:right="1440" w:bottom="1557" w:left="1440" w:header="720" w:footer="720" w:gutter="0"/>
          <w:pgNumType w:fmt="lowerRoman"/>
          <w:cols w:space="720"/>
          <w:docGrid w:linePitch="360"/>
        </w:sectPr>
      </w:pPr>
    </w:p>
    <w:p w:rsidR="009500DC" w:rsidRPr="00E95FA2" w:rsidRDefault="009500DC" w:rsidP="00DA690B"/>
    <w:bookmarkStart w:id="6" w:name="_Toc386465483" w:displacedByCustomXml="next"/>
    <w:sdt>
      <w:sdtPr>
        <w:rPr>
          <w:b w:val="0"/>
          <w:bCs w:val="0"/>
          <w:smallCaps w:val="0"/>
          <w:kern w:val="0"/>
          <w:sz w:val="24"/>
          <w:szCs w:val="24"/>
        </w:rPr>
        <w:id w:val="-455251612"/>
        <w:docPartObj>
          <w:docPartGallery w:val="Table of Contents"/>
          <w:docPartUnique/>
        </w:docPartObj>
      </w:sdtPr>
      <w:sdtEndPr>
        <w:rPr>
          <w:noProof/>
        </w:rPr>
      </w:sdtEndPr>
      <w:sdtContent>
        <w:p w:rsidR="00E736C9" w:rsidRDefault="00E736C9" w:rsidP="00591A33">
          <w:pPr>
            <w:pStyle w:val="Heading1"/>
          </w:pPr>
          <w:r w:rsidRPr="00E736C9">
            <w:t>Table of Contents</w:t>
          </w:r>
          <w:bookmarkEnd w:id="6"/>
        </w:p>
        <w:p w:rsidR="00E736C9" w:rsidRPr="00E736C9" w:rsidRDefault="00E736C9" w:rsidP="00AF1672">
          <w:pPr>
            <w:rPr>
              <w:sz w:val="16"/>
              <w:szCs w:val="16"/>
              <w:lang w:eastAsia="ja-JP"/>
            </w:rPr>
          </w:pPr>
        </w:p>
        <w:p w:rsidR="00AA0833" w:rsidRDefault="00E736C9">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86465481" w:history="1">
            <w:r w:rsidR="00AA0833" w:rsidRPr="00267F54">
              <w:rPr>
                <w:rStyle w:val="Hyperlink"/>
                <w:noProof/>
              </w:rPr>
              <w:t>At-a-Glance Summary</w:t>
            </w:r>
            <w:r w:rsidR="00AA0833">
              <w:rPr>
                <w:noProof/>
                <w:webHidden/>
              </w:rPr>
              <w:tab/>
            </w:r>
            <w:r w:rsidR="00AA0833">
              <w:rPr>
                <w:noProof/>
                <w:webHidden/>
              </w:rPr>
              <w:fldChar w:fldCharType="begin"/>
            </w:r>
            <w:r w:rsidR="00AA0833">
              <w:rPr>
                <w:noProof/>
                <w:webHidden/>
              </w:rPr>
              <w:instrText xml:space="preserve"> PAGEREF _Toc386465481 \h </w:instrText>
            </w:r>
            <w:r w:rsidR="00AA0833">
              <w:rPr>
                <w:noProof/>
                <w:webHidden/>
              </w:rPr>
            </w:r>
            <w:r w:rsidR="00AA0833">
              <w:rPr>
                <w:noProof/>
                <w:webHidden/>
              </w:rPr>
              <w:fldChar w:fldCharType="separate"/>
            </w:r>
            <w:r w:rsidR="00AA0833">
              <w:rPr>
                <w:noProof/>
                <w:webHidden/>
              </w:rPr>
              <w:t>ii</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482" w:history="1">
            <w:r w:rsidR="00AA0833" w:rsidRPr="00267F54">
              <w:rPr>
                <w:rStyle w:val="Hyperlink"/>
                <w:noProof/>
              </w:rPr>
              <w:t>Document Revision History</w:t>
            </w:r>
            <w:r w:rsidR="00AA0833">
              <w:rPr>
                <w:noProof/>
                <w:webHidden/>
              </w:rPr>
              <w:tab/>
            </w:r>
            <w:r w:rsidR="00AA0833">
              <w:rPr>
                <w:noProof/>
                <w:webHidden/>
              </w:rPr>
              <w:fldChar w:fldCharType="begin"/>
            </w:r>
            <w:r w:rsidR="00AA0833">
              <w:rPr>
                <w:noProof/>
                <w:webHidden/>
              </w:rPr>
              <w:instrText xml:space="preserve"> PAGEREF _Toc386465482 \h </w:instrText>
            </w:r>
            <w:r w:rsidR="00AA0833">
              <w:rPr>
                <w:noProof/>
                <w:webHidden/>
              </w:rPr>
            </w:r>
            <w:r w:rsidR="00AA0833">
              <w:rPr>
                <w:noProof/>
                <w:webHidden/>
              </w:rPr>
              <w:fldChar w:fldCharType="separate"/>
            </w:r>
            <w:r w:rsidR="00AA0833">
              <w:rPr>
                <w:noProof/>
                <w:webHidden/>
              </w:rPr>
              <w:t>iv</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483" w:history="1">
            <w:r w:rsidR="00AA0833" w:rsidRPr="00267F54">
              <w:rPr>
                <w:rStyle w:val="Hyperlink"/>
                <w:noProof/>
              </w:rPr>
              <w:t>Table of Contents</w:t>
            </w:r>
            <w:r w:rsidR="00AA0833">
              <w:rPr>
                <w:noProof/>
                <w:webHidden/>
              </w:rPr>
              <w:tab/>
            </w:r>
            <w:r w:rsidR="00AA0833">
              <w:rPr>
                <w:noProof/>
                <w:webHidden/>
              </w:rPr>
              <w:fldChar w:fldCharType="begin"/>
            </w:r>
            <w:r w:rsidR="00AA0833">
              <w:rPr>
                <w:noProof/>
                <w:webHidden/>
              </w:rPr>
              <w:instrText xml:space="preserve"> PAGEREF _Toc386465483 \h </w:instrText>
            </w:r>
            <w:r w:rsidR="00AA0833">
              <w:rPr>
                <w:noProof/>
                <w:webHidden/>
              </w:rPr>
            </w:r>
            <w:r w:rsidR="00AA0833">
              <w:rPr>
                <w:noProof/>
                <w:webHidden/>
              </w:rPr>
              <w:fldChar w:fldCharType="separate"/>
            </w:r>
            <w:r w:rsidR="00AA0833">
              <w:rPr>
                <w:noProof/>
                <w:webHidden/>
              </w:rPr>
              <w:t>v</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484" w:history="1">
            <w:r w:rsidR="00AA0833" w:rsidRPr="00267F54">
              <w:rPr>
                <w:rStyle w:val="Hyperlink"/>
                <w:noProof/>
              </w:rPr>
              <w:t>List of Tables</w:t>
            </w:r>
            <w:r w:rsidR="00AA0833">
              <w:rPr>
                <w:noProof/>
                <w:webHidden/>
              </w:rPr>
              <w:tab/>
            </w:r>
            <w:r w:rsidR="00AA0833">
              <w:rPr>
                <w:noProof/>
                <w:webHidden/>
              </w:rPr>
              <w:fldChar w:fldCharType="begin"/>
            </w:r>
            <w:r w:rsidR="00AA0833">
              <w:rPr>
                <w:noProof/>
                <w:webHidden/>
              </w:rPr>
              <w:instrText xml:space="preserve"> PAGEREF _Toc386465484 \h </w:instrText>
            </w:r>
            <w:r w:rsidR="00AA0833">
              <w:rPr>
                <w:noProof/>
                <w:webHidden/>
              </w:rPr>
            </w:r>
            <w:r w:rsidR="00AA0833">
              <w:rPr>
                <w:noProof/>
                <w:webHidden/>
              </w:rPr>
              <w:fldChar w:fldCharType="separate"/>
            </w:r>
            <w:r w:rsidR="00AA0833">
              <w:rPr>
                <w:noProof/>
                <w:webHidden/>
              </w:rPr>
              <w:t>vi</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485" w:history="1">
            <w:r w:rsidR="00AA0833" w:rsidRPr="00267F54">
              <w:rPr>
                <w:rStyle w:val="Hyperlink"/>
                <w:noProof/>
              </w:rPr>
              <w:t>Section 1. General Measure &amp; Baseline Data</w:t>
            </w:r>
            <w:r w:rsidR="00AA0833">
              <w:rPr>
                <w:noProof/>
                <w:webHidden/>
              </w:rPr>
              <w:tab/>
            </w:r>
            <w:r w:rsidR="00AA0833">
              <w:rPr>
                <w:noProof/>
                <w:webHidden/>
              </w:rPr>
              <w:fldChar w:fldCharType="begin"/>
            </w:r>
            <w:r w:rsidR="00AA0833">
              <w:rPr>
                <w:noProof/>
                <w:webHidden/>
              </w:rPr>
              <w:instrText xml:space="preserve"> PAGEREF _Toc386465485 \h </w:instrText>
            </w:r>
            <w:r w:rsidR="00AA0833">
              <w:rPr>
                <w:noProof/>
                <w:webHidden/>
              </w:rPr>
            </w:r>
            <w:r w:rsidR="00AA0833">
              <w:rPr>
                <w:noProof/>
                <w:webHidden/>
              </w:rPr>
              <w:fldChar w:fldCharType="separate"/>
            </w:r>
            <w:r w:rsidR="00AA0833">
              <w:rPr>
                <w:noProof/>
                <w:webHidden/>
              </w:rPr>
              <w:t>1</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86" w:history="1">
            <w:r w:rsidR="00AA0833" w:rsidRPr="00267F54">
              <w:rPr>
                <w:rStyle w:val="Hyperlink"/>
                <w:noProof/>
              </w:rPr>
              <w:t>1.1 Product Measure Description &amp; Background</w:t>
            </w:r>
            <w:r w:rsidR="00AA0833">
              <w:rPr>
                <w:noProof/>
                <w:webHidden/>
              </w:rPr>
              <w:tab/>
            </w:r>
            <w:r w:rsidR="00AA0833">
              <w:rPr>
                <w:noProof/>
                <w:webHidden/>
              </w:rPr>
              <w:fldChar w:fldCharType="begin"/>
            </w:r>
            <w:r w:rsidR="00AA0833">
              <w:rPr>
                <w:noProof/>
                <w:webHidden/>
              </w:rPr>
              <w:instrText xml:space="preserve"> PAGEREF _Toc386465486 \h </w:instrText>
            </w:r>
            <w:r w:rsidR="00AA0833">
              <w:rPr>
                <w:noProof/>
                <w:webHidden/>
              </w:rPr>
            </w:r>
            <w:r w:rsidR="00AA0833">
              <w:rPr>
                <w:noProof/>
                <w:webHidden/>
              </w:rPr>
              <w:fldChar w:fldCharType="separate"/>
            </w:r>
            <w:r w:rsidR="00AA0833">
              <w:rPr>
                <w:noProof/>
                <w:webHidden/>
              </w:rPr>
              <w:t>1</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87" w:history="1">
            <w:r w:rsidR="00AA0833" w:rsidRPr="00267F54">
              <w:rPr>
                <w:rStyle w:val="Hyperlink"/>
                <w:noProof/>
              </w:rPr>
              <w:t>1.2 Product Technical Description</w:t>
            </w:r>
            <w:r w:rsidR="00AA0833">
              <w:rPr>
                <w:noProof/>
                <w:webHidden/>
              </w:rPr>
              <w:tab/>
            </w:r>
            <w:r w:rsidR="00AA0833">
              <w:rPr>
                <w:noProof/>
                <w:webHidden/>
              </w:rPr>
              <w:fldChar w:fldCharType="begin"/>
            </w:r>
            <w:r w:rsidR="00AA0833">
              <w:rPr>
                <w:noProof/>
                <w:webHidden/>
              </w:rPr>
              <w:instrText xml:space="preserve"> PAGEREF _Toc386465487 \h </w:instrText>
            </w:r>
            <w:r w:rsidR="00AA0833">
              <w:rPr>
                <w:noProof/>
                <w:webHidden/>
              </w:rPr>
            </w:r>
            <w:r w:rsidR="00AA0833">
              <w:rPr>
                <w:noProof/>
                <w:webHidden/>
              </w:rPr>
              <w:fldChar w:fldCharType="separate"/>
            </w:r>
            <w:r w:rsidR="00AA0833">
              <w:rPr>
                <w:noProof/>
                <w:webHidden/>
              </w:rPr>
              <w:t>2</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88" w:history="1">
            <w:r w:rsidR="00AA0833" w:rsidRPr="00267F54">
              <w:rPr>
                <w:rStyle w:val="Hyperlink"/>
                <w:noProof/>
              </w:rPr>
              <w:t>1.3 Measure Application Type</w:t>
            </w:r>
            <w:r w:rsidR="00AA0833">
              <w:rPr>
                <w:noProof/>
                <w:webHidden/>
              </w:rPr>
              <w:tab/>
            </w:r>
            <w:r w:rsidR="00AA0833">
              <w:rPr>
                <w:noProof/>
                <w:webHidden/>
              </w:rPr>
              <w:fldChar w:fldCharType="begin"/>
            </w:r>
            <w:r w:rsidR="00AA0833">
              <w:rPr>
                <w:noProof/>
                <w:webHidden/>
              </w:rPr>
              <w:instrText xml:space="preserve"> PAGEREF _Toc386465488 \h </w:instrText>
            </w:r>
            <w:r w:rsidR="00AA0833">
              <w:rPr>
                <w:noProof/>
                <w:webHidden/>
              </w:rPr>
            </w:r>
            <w:r w:rsidR="00AA0833">
              <w:rPr>
                <w:noProof/>
                <w:webHidden/>
              </w:rPr>
              <w:fldChar w:fldCharType="separate"/>
            </w:r>
            <w:r w:rsidR="00AA0833">
              <w:rPr>
                <w:noProof/>
                <w:webHidden/>
              </w:rPr>
              <w:t>2</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89" w:history="1">
            <w:r w:rsidR="00AA0833" w:rsidRPr="00267F54">
              <w:rPr>
                <w:rStyle w:val="Hyperlink"/>
                <w:noProof/>
              </w:rPr>
              <w:t>1.4 Product Base Case and Measure Case Data</w:t>
            </w:r>
            <w:r w:rsidR="00AA0833">
              <w:rPr>
                <w:noProof/>
                <w:webHidden/>
              </w:rPr>
              <w:tab/>
            </w:r>
            <w:r w:rsidR="00AA0833">
              <w:rPr>
                <w:noProof/>
                <w:webHidden/>
              </w:rPr>
              <w:fldChar w:fldCharType="begin"/>
            </w:r>
            <w:r w:rsidR="00AA0833">
              <w:rPr>
                <w:noProof/>
                <w:webHidden/>
              </w:rPr>
              <w:instrText xml:space="preserve"> PAGEREF _Toc386465489 \h </w:instrText>
            </w:r>
            <w:r w:rsidR="00AA0833">
              <w:rPr>
                <w:noProof/>
                <w:webHidden/>
              </w:rPr>
            </w:r>
            <w:r w:rsidR="00AA0833">
              <w:rPr>
                <w:noProof/>
                <w:webHidden/>
              </w:rPr>
              <w:fldChar w:fldCharType="separate"/>
            </w:r>
            <w:r w:rsidR="00AA0833">
              <w:rPr>
                <w:noProof/>
                <w:webHidden/>
              </w:rPr>
              <w:t>2</w:t>
            </w:r>
            <w:r w:rsidR="00AA0833">
              <w:rPr>
                <w:noProof/>
                <w:webHidden/>
              </w:rPr>
              <w:fldChar w:fldCharType="end"/>
            </w:r>
          </w:hyperlink>
        </w:p>
        <w:p w:rsidR="00AA0833" w:rsidRDefault="00ED7203">
          <w:pPr>
            <w:pStyle w:val="TOC3"/>
            <w:rPr>
              <w:rFonts w:asciiTheme="minorHAnsi" w:eastAsiaTheme="minorEastAsia" w:hAnsiTheme="minorHAnsi" w:cstheme="minorBidi"/>
              <w:noProof/>
              <w:sz w:val="22"/>
              <w:szCs w:val="22"/>
            </w:rPr>
          </w:pPr>
          <w:hyperlink w:anchor="_Toc386465490" w:history="1">
            <w:r w:rsidR="00AA0833" w:rsidRPr="00267F54">
              <w:rPr>
                <w:rStyle w:val="Hyperlink"/>
                <w:noProof/>
              </w:rPr>
              <w:t>1.4.1 DEER Differences Analysis</w:t>
            </w:r>
            <w:r w:rsidR="00AA0833">
              <w:rPr>
                <w:noProof/>
                <w:webHidden/>
              </w:rPr>
              <w:tab/>
            </w:r>
            <w:r w:rsidR="00AA0833">
              <w:rPr>
                <w:noProof/>
                <w:webHidden/>
              </w:rPr>
              <w:fldChar w:fldCharType="begin"/>
            </w:r>
            <w:r w:rsidR="00AA0833">
              <w:rPr>
                <w:noProof/>
                <w:webHidden/>
              </w:rPr>
              <w:instrText xml:space="preserve"> PAGEREF _Toc386465490 \h </w:instrText>
            </w:r>
            <w:r w:rsidR="00AA0833">
              <w:rPr>
                <w:noProof/>
                <w:webHidden/>
              </w:rPr>
            </w:r>
            <w:r w:rsidR="00AA0833">
              <w:rPr>
                <w:noProof/>
                <w:webHidden/>
              </w:rPr>
              <w:fldChar w:fldCharType="separate"/>
            </w:r>
            <w:r w:rsidR="00AA0833">
              <w:rPr>
                <w:noProof/>
                <w:webHidden/>
              </w:rPr>
              <w:t>2</w:t>
            </w:r>
            <w:r w:rsidR="00AA0833">
              <w:rPr>
                <w:noProof/>
                <w:webHidden/>
              </w:rPr>
              <w:fldChar w:fldCharType="end"/>
            </w:r>
          </w:hyperlink>
        </w:p>
        <w:p w:rsidR="00AA0833" w:rsidRDefault="00ED7203">
          <w:pPr>
            <w:pStyle w:val="TOC3"/>
            <w:rPr>
              <w:rFonts w:asciiTheme="minorHAnsi" w:eastAsiaTheme="minorEastAsia" w:hAnsiTheme="minorHAnsi" w:cstheme="minorBidi"/>
              <w:noProof/>
              <w:sz w:val="22"/>
              <w:szCs w:val="22"/>
            </w:rPr>
          </w:pPr>
          <w:hyperlink w:anchor="_Toc386465491" w:history="1">
            <w:r w:rsidR="00AA0833" w:rsidRPr="00267F54">
              <w:rPr>
                <w:rStyle w:val="Hyperlink"/>
                <w:noProof/>
              </w:rPr>
              <w:t>1.4.2 Codes &amp; Standards Requirements Base Case and Measure Information</w:t>
            </w:r>
            <w:r w:rsidR="00AA0833">
              <w:rPr>
                <w:noProof/>
                <w:webHidden/>
              </w:rPr>
              <w:tab/>
            </w:r>
            <w:r w:rsidR="00AA0833">
              <w:rPr>
                <w:noProof/>
                <w:webHidden/>
              </w:rPr>
              <w:fldChar w:fldCharType="begin"/>
            </w:r>
            <w:r w:rsidR="00AA0833">
              <w:rPr>
                <w:noProof/>
                <w:webHidden/>
              </w:rPr>
              <w:instrText xml:space="preserve"> PAGEREF _Toc386465491 \h </w:instrText>
            </w:r>
            <w:r w:rsidR="00AA0833">
              <w:rPr>
                <w:noProof/>
                <w:webHidden/>
              </w:rPr>
            </w:r>
            <w:r w:rsidR="00AA0833">
              <w:rPr>
                <w:noProof/>
                <w:webHidden/>
              </w:rPr>
              <w:fldChar w:fldCharType="separate"/>
            </w:r>
            <w:r w:rsidR="00AA0833">
              <w:rPr>
                <w:noProof/>
                <w:webHidden/>
              </w:rPr>
              <w:t>4</w:t>
            </w:r>
            <w:r w:rsidR="00AA0833">
              <w:rPr>
                <w:noProof/>
                <w:webHidden/>
              </w:rPr>
              <w:fldChar w:fldCharType="end"/>
            </w:r>
          </w:hyperlink>
        </w:p>
        <w:p w:rsidR="00AA0833" w:rsidRDefault="00ED7203">
          <w:pPr>
            <w:pStyle w:val="TOC3"/>
            <w:rPr>
              <w:rFonts w:asciiTheme="minorHAnsi" w:eastAsiaTheme="minorEastAsia" w:hAnsiTheme="minorHAnsi" w:cstheme="minorBidi"/>
              <w:noProof/>
              <w:sz w:val="22"/>
              <w:szCs w:val="22"/>
            </w:rPr>
          </w:pPr>
          <w:hyperlink w:anchor="_Toc386465492" w:history="1">
            <w:r w:rsidR="00AA0833" w:rsidRPr="00267F54">
              <w:rPr>
                <w:rStyle w:val="Hyperlink"/>
                <w:noProof/>
              </w:rPr>
              <w:t>1.4.3 EM&amp;V, Market Potential, and Other Studies – Base Case and Measure Case Information</w:t>
            </w:r>
            <w:r w:rsidR="00AA0833">
              <w:rPr>
                <w:noProof/>
                <w:webHidden/>
              </w:rPr>
              <w:tab/>
            </w:r>
            <w:r w:rsidR="00AA0833">
              <w:rPr>
                <w:noProof/>
                <w:webHidden/>
              </w:rPr>
              <w:fldChar w:fldCharType="begin"/>
            </w:r>
            <w:r w:rsidR="00AA0833">
              <w:rPr>
                <w:noProof/>
                <w:webHidden/>
              </w:rPr>
              <w:instrText xml:space="preserve"> PAGEREF _Toc386465492 \h </w:instrText>
            </w:r>
            <w:r w:rsidR="00AA0833">
              <w:rPr>
                <w:noProof/>
                <w:webHidden/>
              </w:rPr>
            </w:r>
            <w:r w:rsidR="00AA0833">
              <w:rPr>
                <w:noProof/>
                <w:webHidden/>
              </w:rPr>
              <w:fldChar w:fldCharType="separate"/>
            </w:r>
            <w:r w:rsidR="00AA0833">
              <w:rPr>
                <w:noProof/>
                <w:webHidden/>
              </w:rPr>
              <w:t>5</w:t>
            </w:r>
            <w:r w:rsidR="00AA0833">
              <w:rPr>
                <w:noProof/>
                <w:webHidden/>
              </w:rPr>
              <w:fldChar w:fldCharType="end"/>
            </w:r>
          </w:hyperlink>
        </w:p>
        <w:p w:rsidR="00AA0833" w:rsidRDefault="00ED7203">
          <w:pPr>
            <w:pStyle w:val="TOC3"/>
            <w:rPr>
              <w:rFonts w:asciiTheme="minorHAnsi" w:eastAsiaTheme="minorEastAsia" w:hAnsiTheme="minorHAnsi" w:cstheme="minorBidi"/>
              <w:noProof/>
              <w:sz w:val="22"/>
              <w:szCs w:val="22"/>
            </w:rPr>
          </w:pPr>
          <w:hyperlink w:anchor="_Toc386465493" w:history="1">
            <w:r w:rsidR="00AA0833" w:rsidRPr="00267F54">
              <w:rPr>
                <w:rStyle w:val="Hyperlink"/>
                <w:noProof/>
              </w:rPr>
              <w:t>1.4.4 Assumptions and Calculations from other Sources – Base Case and Measure Case</w:t>
            </w:r>
            <w:r w:rsidR="00AA0833">
              <w:rPr>
                <w:noProof/>
                <w:webHidden/>
              </w:rPr>
              <w:tab/>
            </w:r>
            <w:r w:rsidR="00AA0833">
              <w:rPr>
                <w:noProof/>
                <w:webHidden/>
              </w:rPr>
              <w:fldChar w:fldCharType="begin"/>
            </w:r>
            <w:r w:rsidR="00AA0833">
              <w:rPr>
                <w:noProof/>
                <w:webHidden/>
              </w:rPr>
              <w:instrText xml:space="preserve"> PAGEREF _Toc386465493 \h </w:instrText>
            </w:r>
            <w:r w:rsidR="00AA0833">
              <w:rPr>
                <w:noProof/>
                <w:webHidden/>
              </w:rPr>
            </w:r>
            <w:r w:rsidR="00AA0833">
              <w:rPr>
                <w:noProof/>
                <w:webHidden/>
              </w:rPr>
              <w:fldChar w:fldCharType="separate"/>
            </w:r>
            <w:r w:rsidR="00AA0833">
              <w:rPr>
                <w:noProof/>
                <w:webHidden/>
              </w:rPr>
              <w:t>5</w:t>
            </w:r>
            <w:r w:rsidR="00AA0833">
              <w:rPr>
                <w:noProof/>
                <w:webHidden/>
              </w:rPr>
              <w:fldChar w:fldCharType="end"/>
            </w:r>
          </w:hyperlink>
        </w:p>
        <w:p w:rsidR="00AA0833" w:rsidRDefault="00ED7203">
          <w:pPr>
            <w:pStyle w:val="TOC3"/>
            <w:rPr>
              <w:rFonts w:asciiTheme="minorHAnsi" w:eastAsiaTheme="minorEastAsia" w:hAnsiTheme="minorHAnsi" w:cstheme="minorBidi"/>
              <w:noProof/>
              <w:sz w:val="22"/>
              <w:szCs w:val="22"/>
            </w:rPr>
          </w:pPr>
          <w:hyperlink w:anchor="_Toc386465494" w:history="1">
            <w:r w:rsidR="00AA0833" w:rsidRPr="00267F54">
              <w:rPr>
                <w:rStyle w:val="Hyperlink"/>
                <w:noProof/>
              </w:rPr>
              <w:t>1.4.5 Time-of-Use Adjustment Factor</w:t>
            </w:r>
            <w:r w:rsidR="00AA0833">
              <w:rPr>
                <w:noProof/>
                <w:webHidden/>
              </w:rPr>
              <w:tab/>
            </w:r>
            <w:r w:rsidR="00AA0833">
              <w:rPr>
                <w:noProof/>
                <w:webHidden/>
              </w:rPr>
              <w:fldChar w:fldCharType="begin"/>
            </w:r>
            <w:r w:rsidR="00AA0833">
              <w:rPr>
                <w:noProof/>
                <w:webHidden/>
              </w:rPr>
              <w:instrText xml:space="preserve"> PAGEREF _Toc386465494 \h </w:instrText>
            </w:r>
            <w:r w:rsidR="00AA0833">
              <w:rPr>
                <w:noProof/>
                <w:webHidden/>
              </w:rPr>
            </w:r>
            <w:r w:rsidR="00AA0833">
              <w:rPr>
                <w:noProof/>
                <w:webHidden/>
              </w:rPr>
              <w:fldChar w:fldCharType="separate"/>
            </w:r>
            <w:r w:rsidR="00AA0833">
              <w:rPr>
                <w:noProof/>
                <w:webHidden/>
              </w:rPr>
              <w:t>5</w:t>
            </w:r>
            <w:r w:rsidR="00AA0833">
              <w:rPr>
                <w:noProof/>
                <w:webHidden/>
              </w:rPr>
              <w:fldChar w:fldCharType="end"/>
            </w:r>
          </w:hyperlink>
        </w:p>
        <w:p w:rsidR="00AA0833" w:rsidRDefault="00ED7203">
          <w:pPr>
            <w:pStyle w:val="TOC3"/>
            <w:rPr>
              <w:rFonts w:asciiTheme="minorHAnsi" w:eastAsiaTheme="minorEastAsia" w:hAnsiTheme="minorHAnsi" w:cstheme="minorBidi"/>
              <w:noProof/>
              <w:sz w:val="22"/>
              <w:szCs w:val="22"/>
            </w:rPr>
          </w:pPr>
          <w:hyperlink w:anchor="_Toc386465495" w:history="1">
            <w:r w:rsidR="00AA0833" w:rsidRPr="00267F54">
              <w:rPr>
                <w:rStyle w:val="Hyperlink"/>
                <w:noProof/>
              </w:rPr>
              <w:t>1.4.6 Measure Effective Useful Life</w:t>
            </w:r>
            <w:r w:rsidR="00AA0833">
              <w:rPr>
                <w:noProof/>
                <w:webHidden/>
              </w:rPr>
              <w:tab/>
            </w:r>
            <w:r w:rsidR="00AA0833">
              <w:rPr>
                <w:noProof/>
                <w:webHidden/>
              </w:rPr>
              <w:fldChar w:fldCharType="begin"/>
            </w:r>
            <w:r w:rsidR="00AA0833">
              <w:rPr>
                <w:noProof/>
                <w:webHidden/>
              </w:rPr>
              <w:instrText xml:space="preserve"> PAGEREF _Toc386465495 \h </w:instrText>
            </w:r>
            <w:r w:rsidR="00AA0833">
              <w:rPr>
                <w:noProof/>
                <w:webHidden/>
              </w:rPr>
            </w:r>
            <w:r w:rsidR="00AA0833">
              <w:rPr>
                <w:noProof/>
                <w:webHidden/>
              </w:rPr>
              <w:fldChar w:fldCharType="separate"/>
            </w:r>
            <w:r w:rsidR="00AA0833">
              <w:rPr>
                <w:noProof/>
                <w:webHidden/>
              </w:rPr>
              <w:t>6</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496" w:history="1">
            <w:r w:rsidR="00AA0833" w:rsidRPr="00267F54">
              <w:rPr>
                <w:rStyle w:val="Hyperlink"/>
                <w:noProof/>
              </w:rPr>
              <w:t>Section 2. Energy Savings &amp; Demand Reduction Calculations</w:t>
            </w:r>
            <w:r w:rsidR="00AA0833">
              <w:rPr>
                <w:noProof/>
                <w:webHidden/>
              </w:rPr>
              <w:tab/>
            </w:r>
            <w:r w:rsidR="00AA0833">
              <w:rPr>
                <w:noProof/>
                <w:webHidden/>
              </w:rPr>
              <w:fldChar w:fldCharType="begin"/>
            </w:r>
            <w:r w:rsidR="00AA0833">
              <w:rPr>
                <w:noProof/>
                <w:webHidden/>
              </w:rPr>
              <w:instrText xml:space="preserve"> PAGEREF _Toc386465496 \h </w:instrText>
            </w:r>
            <w:r w:rsidR="00AA0833">
              <w:rPr>
                <w:noProof/>
                <w:webHidden/>
              </w:rPr>
            </w:r>
            <w:r w:rsidR="00AA0833">
              <w:rPr>
                <w:noProof/>
                <w:webHidden/>
              </w:rPr>
              <w:fldChar w:fldCharType="separate"/>
            </w:r>
            <w:r w:rsidR="00AA0833">
              <w:rPr>
                <w:noProof/>
                <w:webHidden/>
              </w:rPr>
              <w:t>6</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97" w:history="1">
            <w:r w:rsidR="00AA0833" w:rsidRPr="00267F54">
              <w:rPr>
                <w:rStyle w:val="Hyperlink"/>
                <w:noProof/>
              </w:rPr>
              <w:t>2.1 Electric Energy Savings Estimation Methodologies</w:t>
            </w:r>
            <w:r w:rsidR="00AA0833">
              <w:rPr>
                <w:noProof/>
                <w:webHidden/>
              </w:rPr>
              <w:tab/>
            </w:r>
            <w:r w:rsidR="00AA0833">
              <w:rPr>
                <w:noProof/>
                <w:webHidden/>
              </w:rPr>
              <w:fldChar w:fldCharType="begin"/>
            </w:r>
            <w:r w:rsidR="00AA0833">
              <w:rPr>
                <w:noProof/>
                <w:webHidden/>
              </w:rPr>
              <w:instrText xml:space="preserve"> PAGEREF _Toc386465497 \h </w:instrText>
            </w:r>
            <w:r w:rsidR="00AA0833">
              <w:rPr>
                <w:noProof/>
                <w:webHidden/>
              </w:rPr>
            </w:r>
            <w:r w:rsidR="00AA0833">
              <w:rPr>
                <w:noProof/>
                <w:webHidden/>
              </w:rPr>
              <w:fldChar w:fldCharType="separate"/>
            </w:r>
            <w:r w:rsidR="00AA0833">
              <w:rPr>
                <w:noProof/>
                <w:webHidden/>
              </w:rPr>
              <w:t>7</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98" w:history="1">
            <w:r w:rsidR="00AA0833" w:rsidRPr="00267F54">
              <w:rPr>
                <w:rStyle w:val="Hyperlink"/>
                <w:noProof/>
              </w:rPr>
              <w:t>2.2. Demand Reduction Estimation Methodologies</w:t>
            </w:r>
            <w:r w:rsidR="00AA0833">
              <w:rPr>
                <w:noProof/>
                <w:webHidden/>
              </w:rPr>
              <w:tab/>
            </w:r>
            <w:r w:rsidR="00AA0833">
              <w:rPr>
                <w:noProof/>
                <w:webHidden/>
              </w:rPr>
              <w:fldChar w:fldCharType="begin"/>
            </w:r>
            <w:r w:rsidR="00AA0833">
              <w:rPr>
                <w:noProof/>
                <w:webHidden/>
              </w:rPr>
              <w:instrText xml:space="preserve"> PAGEREF _Toc386465498 \h </w:instrText>
            </w:r>
            <w:r w:rsidR="00AA0833">
              <w:rPr>
                <w:noProof/>
                <w:webHidden/>
              </w:rPr>
            </w:r>
            <w:r w:rsidR="00AA0833">
              <w:rPr>
                <w:noProof/>
                <w:webHidden/>
              </w:rPr>
              <w:fldChar w:fldCharType="separate"/>
            </w:r>
            <w:r w:rsidR="00AA0833">
              <w:rPr>
                <w:noProof/>
                <w:webHidden/>
              </w:rPr>
              <w:t>9</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499" w:history="1">
            <w:r w:rsidR="00AA0833" w:rsidRPr="00267F54">
              <w:rPr>
                <w:rStyle w:val="Hyperlink"/>
                <w:noProof/>
              </w:rPr>
              <w:t>2.3. Gas Energy Savings Estimation Methodologies</w:t>
            </w:r>
            <w:r w:rsidR="00AA0833">
              <w:rPr>
                <w:noProof/>
                <w:webHidden/>
              </w:rPr>
              <w:tab/>
            </w:r>
            <w:r w:rsidR="00AA0833">
              <w:rPr>
                <w:noProof/>
                <w:webHidden/>
              </w:rPr>
              <w:fldChar w:fldCharType="begin"/>
            </w:r>
            <w:r w:rsidR="00AA0833">
              <w:rPr>
                <w:noProof/>
                <w:webHidden/>
              </w:rPr>
              <w:instrText xml:space="preserve"> PAGEREF _Toc386465499 \h </w:instrText>
            </w:r>
            <w:r w:rsidR="00AA0833">
              <w:rPr>
                <w:noProof/>
                <w:webHidden/>
              </w:rPr>
            </w:r>
            <w:r w:rsidR="00AA0833">
              <w:rPr>
                <w:noProof/>
                <w:webHidden/>
              </w:rPr>
              <w:fldChar w:fldCharType="separate"/>
            </w:r>
            <w:r w:rsidR="00AA0833">
              <w:rPr>
                <w:noProof/>
                <w:webHidden/>
              </w:rPr>
              <w:t>10</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500" w:history="1">
            <w:r w:rsidR="00AA0833" w:rsidRPr="00267F54">
              <w:rPr>
                <w:rStyle w:val="Hyperlink"/>
                <w:noProof/>
              </w:rPr>
              <w:t>Section 3. Load Shapes</w:t>
            </w:r>
            <w:r w:rsidR="00AA0833">
              <w:rPr>
                <w:noProof/>
                <w:webHidden/>
              </w:rPr>
              <w:tab/>
            </w:r>
            <w:r w:rsidR="00AA0833">
              <w:rPr>
                <w:noProof/>
                <w:webHidden/>
              </w:rPr>
              <w:fldChar w:fldCharType="begin"/>
            </w:r>
            <w:r w:rsidR="00AA0833">
              <w:rPr>
                <w:noProof/>
                <w:webHidden/>
              </w:rPr>
              <w:instrText xml:space="preserve"> PAGEREF _Toc386465500 \h </w:instrText>
            </w:r>
            <w:r w:rsidR="00AA0833">
              <w:rPr>
                <w:noProof/>
                <w:webHidden/>
              </w:rPr>
            </w:r>
            <w:r w:rsidR="00AA0833">
              <w:rPr>
                <w:noProof/>
                <w:webHidden/>
              </w:rPr>
              <w:fldChar w:fldCharType="separate"/>
            </w:r>
            <w:r w:rsidR="00AA0833">
              <w:rPr>
                <w:noProof/>
                <w:webHidden/>
              </w:rPr>
              <w:t>10</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501" w:history="1">
            <w:r w:rsidR="00AA0833" w:rsidRPr="00267F54">
              <w:rPr>
                <w:rStyle w:val="Hyperlink"/>
                <w:noProof/>
              </w:rPr>
              <w:t>3.1 Base Case Load Shapes</w:t>
            </w:r>
            <w:r w:rsidR="00AA0833">
              <w:rPr>
                <w:noProof/>
                <w:webHidden/>
              </w:rPr>
              <w:tab/>
            </w:r>
            <w:r w:rsidR="00AA0833">
              <w:rPr>
                <w:noProof/>
                <w:webHidden/>
              </w:rPr>
              <w:fldChar w:fldCharType="begin"/>
            </w:r>
            <w:r w:rsidR="00AA0833">
              <w:rPr>
                <w:noProof/>
                <w:webHidden/>
              </w:rPr>
              <w:instrText xml:space="preserve"> PAGEREF _Toc386465501 \h </w:instrText>
            </w:r>
            <w:r w:rsidR="00AA0833">
              <w:rPr>
                <w:noProof/>
                <w:webHidden/>
              </w:rPr>
            </w:r>
            <w:r w:rsidR="00AA0833">
              <w:rPr>
                <w:noProof/>
                <w:webHidden/>
              </w:rPr>
              <w:fldChar w:fldCharType="separate"/>
            </w:r>
            <w:r w:rsidR="00AA0833">
              <w:rPr>
                <w:noProof/>
                <w:webHidden/>
              </w:rPr>
              <w:t>10</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502" w:history="1">
            <w:r w:rsidR="00AA0833" w:rsidRPr="00267F54">
              <w:rPr>
                <w:rStyle w:val="Hyperlink"/>
                <w:noProof/>
              </w:rPr>
              <w:t>3.2 Measure Load Shapes</w:t>
            </w:r>
            <w:r w:rsidR="00AA0833">
              <w:rPr>
                <w:noProof/>
                <w:webHidden/>
              </w:rPr>
              <w:tab/>
            </w:r>
            <w:r w:rsidR="00AA0833">
              <w:rPr>
                <w:noProof/>
                <w:webHidden/>
              </w:rPr>
              <w:fldChar w:fldCharType="begin"/>
            </w:r>
            <w:r w:rsidR="00AA0833">
              <w:rPr>
                <w:noProof/>
                <w:webHidden/>
              </w:rPr>
              <w:instrText xml:space="preserve"> PAGEREF _Toc386465502 \h </w:instrText>
            </w:r>
            <w:r w:rsidR="00AA0833">
              <w:rPr>
                <w:noProof/>
                <w:webHidden/>
              </w:rPr>
            </w:r>
            <w:r w:rsidR="00AA0833">
              <w:rPr>
                <w:noProof/>
                <w:webHidden/>
              </w:rPr>
              <w:fldChar w:fldCharType="separate"/>
            </w:r>
            <w:r w:rsidR="00AA0833">
              <w:rPr>
                <w:noProof/>
                <w:webHidden/>
              </w:rPr>
              <w:t>10</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503" w:history="1">
            <w:r w:rsidR="00AA0833" w:rsidRPr="00267F54">
              <w:rPr>
                <w:rStyle w:val="Hyperlink"/>
                <w:noProof/>
              </w:rPr>
              <w:t>Section 4. Base Case &amp; Measure Costs</w:t>
            </w:r>
            <w:r w:rsidR="00AA0833">
              <w:rPr>
                <w:noProof/>
                <w:webHidden/>
              </w:rPr>
              <w:tab/>
            </w:r>
            <w:r w:rsidR="00AA0833">
              <w:rPr>
                <w:noProof/>
                <w:webHidden/>
              </w:rPr>
              <w:fldChar w:fldCharType="begin"/>
            </w:r>
            <w:r w:rsidR="00AA0833">
              <w:rPr>
                <w:noProof/>
                <w:webHidden/>
              </w:rPr>
              <w:instrText xml:space="preserve"> PAGEREF _Toc386465503 \h </w:instrText>
            </w:r>
            <w:r w:rsidR="00AA0833">
              <w:rPr>
                <w:noProof/>
                <w:webHidden/>
              </w:rPr>
            </w:r>
            <w:r w:rsidR="00AA0833">
              <w:rPr>
                <w:noProof/>
                <w:webHidden/>
              </w:rPr>
              <w:fldChar w:fldCharType="separate"/>
            </w:r>
            <w:r w:rsidR="00AA0833">
              <w:rPr>
                <w:noProof/>
                <w:webHidden/>
              </w:rPr>
              <w:t>11</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504" w:history="1">
            <w:r w:rsidR="00AA0833" w:rsidRPr="00267F54">
              <w:rPr>
                <w:rStyle w:val="Hyperlink"/>
                <w:noProof/>
              </w:rPr>
              <w:t>4.1 Base Case Cost</w:t>
            </w:r>
            <w:r w:rsidR="00AA0833">
              <w:rPr>
                <w:noProof/>
                <w:webHidden/>
              </w:rPr>
              <w:tab/>
            </w:r>
            <w:r w:rsidR="00AA0833">
              <w:rPr>
                <w:noProof/>
                <w:webHidden/>
              </w:rPr>
              <w:fldChar w:fldCharType="begin"/>
            </w:r>
            <w:r w:rsidR="00AA0833">
              <w:rPr>
                <w:noProof/>
                <w:webHidden/>
              </w:rPr>
              <w:instrText xml:space="preserve"> PAGEREF _Toc386465504 \h </w:instrText>
            </w:r>
            <w:r w:rsidR="00AA0833">
              <w:rPr>
                <w:noProof/>
                <w:webHidden/>
              </w:rPr>
            </w:r>
            <w:r w:rsidR="00AA0833">
              <w:rPr>
                <w:noProof/>
                <w:webHidden/>
              </w:rPr>
              <w:fldChar w:fldCharType="separate"/>
            </w:r>
            <w:r w:rsidR="00AA0833">
              <w:rPr>
                <w:noProof/>
                <w:webHidden/>
              </w:rPr>
              <w:t>11</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505" w:history="1">
            <w:r w:rsidR="00AA0833" w:rsidRPr="00267F54">
              <w:rPr>
                <w:rStyle w:val="Hyperlink"/>
                <w:noProof/>
              </w:rPr>
              <w:t>4.2 Measure Case Costs</w:t>
            </w:r>
            <w:r w:rsidR="00AA0833">
              <w:rPr>
                <w:noProof/>
                <w:webHidden/>
              </w:rPr>
              <w:tab/>
            </w:r>
            <w:r w:rsidR="00AA0833">
              <w:rPr>
                <w:noProof/>
                <w:webHidden/>
              </w:rPr>
              <w:fldChar w:fldCharType="begin"/>
            </w:r>
            <w:r w:rsidR="00AA0833">
              <w:rPr>
                <w:noProof/>
                <w:webHidden/>
              </w:rPr>
              <w:instrText xml:space="preserve"> PAGEREF _Toc386465505 \h </w:instrText>
            </w:r>
            <w:r w:rsidR="00AA0833">
              <w:rPr>
                <w:noProof/>
                <w:webHidden/>
              </w:rPr>
            </w:r>
            <w:r w:rsidR="00AA0833">
              <w:rPr>
                <w:noProof/>
                <w:webHidden/>
              </w:rPr>
              <w:fldChar w:fldCharType="separate"/>
            </w:r>
            <w:r w:rsidR="00AA0833">
              <w:rPr>
                <w:noProof/>
                <w:webHidden/>
              </w:rPr>
              <w:t>11</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506" w:history="1">
            <w:r w:rsidR="00AA0833" w:rsidRPr="00267F54">
              <w:rPr>
                <w:rStyle w:val="Hyperlink"/>
                <w:noProof/>
              </w:rPr>
              <w:t>4.3 Gross Measure Cost</w:t>
            </w:r>
            <w:r w:rsidR="00AA0833">
              <w:rPr>
                <w:noProof/>
                <w:webHidden/>
              </w:rPr>
              <w:tab/>
            </w:r>
            <w:r w:rsidR="00AA0833">
              <w:rPr>
                <w:noProof/>
                <w:webHidden/>
              </w:rPr>
              <w:fldChar w:fldCharType="begin"/>
            </w:r>
            <w:r w:rsidR="00AA0833">
              <w:rPr>
                <w:noProof/>
                <w:webHidden/>
              </w:rPr>
              <w:instrText xml:space="preserve"> PAGEREF _Toc386465506 \h </w:instrText>
            </w:r>
            <w:r w:rsidR="00AA0833">
              <w:rPr>
                <w:noProof/>
                <w:webHidden/>
              </w:rPr>
            </w:r>
            <w:r w:rsidR="00AA0833">
              <w:rPr>
                <w:noProof/>
                <w:webHidden/>
              </w:rPr>
              <w:fldChar w:fldCharType="separate"/>
            </w:r>
            <w:r w:rsidR="00AA0833">
              <w:rPr>
                <w:noProof/>
                <w:webHidden/>
              </w:rPr>
              <w:t>11</w:t>
            </w:r>
            <w:r w:rsidR="00AA0833">
              <w:rPr>
                <w:noProof/>
                <w:webHidden/>
              </w:rPr>
              <w:fldChar w:fldCharType="end"/>
            </w:r>
          </w:hyperlink>
        </w:p>
        <w:p w:rsidR="00AA0833" w:rsidRDefault="00ED7203">
          <w:pPr>
            <w:pStyle w:val="TOC2"/>
            <w:rPr>
              <w:rFonts w:asciiTheme="minorHAnsi" w:eastAsiaTheme="minorEastAsia" w:hAnsiTheme="minorHAnsi" w:cstheme="minorBidi"/>
              <w:noProof/>
              <w:sz w:val="22"/>
              <w:szCs w:val="22"/>
            </w:rPr>
          </w:pPr>
          <w:hyperlink w:anchor="_Toc386465507" w:history="1">
            <w:r w:rsidR="00AA0833" w:rsidRPr="00267F54">
              <w:rPr>
                <w:rStyle w:val="Hyperlink"/>
                <w:noProof/>
              </w:rPr>
              <w:t>4.4 Incremental Measure Cost</w:t>
            </w:r>
            <w:r w:rsidR="00AA0833">
              <w:rPr>
                <w:noProof/>
                <w:webHidden/>
              </w:rPr>
              <w:tab/>
            </w:r>
            <w:r w:rsidR="00AA0833">
              <w:rPr>
                <w:noProof/>
                <w:webHidden/>
              </w:rPr>
              <w:fldChar w:fldCharType="begin"/>
            </w:r>
            <w:r w:rsidR="00AA0833">
              <w:rPr>
                <w:noProof/>
                <w:webHidden/>
              </w:rPr>
              <w:instrText xml:space="preserve"> PAGEREF _Toc386465507 \h </w:instrText>
            </w:r>
            <w:r w:rsidR="00AA0833">
              <w:rPr>
                <w:noProof/>
                <w:webHidden/>
              </w:rPr>
            </w:r>
            <w:r w:rsidR="00AA0833">
              <w:rPr>
                <w:noProof/>
                <w:webHidden/>
              </w:rPr>
              <w:fldChar w:fldCharType="separate"/>
            </w:r>
            <w:r w:rsidR="00AA0833">
              <w:rPr>
                <w:noProof/>
                <w:webHidden/>
              </w:rPr>
              <w:t>12</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508" w:history="1">
            <w:r w:rsidR="00AA0833" w:rsidRPr="00267F54">
              <w:rPr>
                <w:rStyle w:val="Hyperlink"/>
                <w:noProof/>
              </w:rPr>
              <w:t>Attachments</w:t>
            </w:r>
            <w:r w:rsidR="00AA0833">
              <w:rPr>
                <w:noProof/>
                <w:webHidden/>
              </w:rPr>
              <w:tab/>
            </w:r>
            <w:r w:rsidR="00AA0833">
              <w:rPr>
                <w:noProof/>
                <w:webHidden/>
              </w:rPr>
              <w:fldChar w:fldCharType="begin"/>
            </w:r>
            <w:r w:rsidR="00AA0833">
              <w:rPr>
                <w:noProof/>
                <w:webHidden/>
              </w:rPr>
              <w:instrText xml:space="preserve"> PAGEREF _Toc386465508 \h </w:instrText>
            </w:r>
            <w:r w:rsidR="00AA0833">
              <w:rPr>
                <w:noProof/>
                <w:webHidden/>
              </w:rPr>
            </w:r>
            <w:r w:rsidR="00AA0833">
              <w:rPr>
                <w:noProof/>
                <w:webHidden/>
              </w:rPr>
              <w:fldChar w:fldCharType="separate"/>
            </w:r>
            <w:r w:rsidR="00AA0833">
              <w:rPr>
                <w:noProof/>
                <w:webHidden/>
              </w:rPr>
              <w:t>13</w:t>
            </w:r>
            <w:r w:rsidR="00AA0833">
              <w:rPr>
                <w:noProof/>
                <w:webHidden/>
              </w:rPr>
              <w:fldChar w:fldCharType="end"/>
            </w:r>
          </w:hyperlink>
        </w:p>
        <w:p w:rsidR="00AA0833" w:rsidRDefault="00ED7203">
          <w:pPr>
            <w:pStyle w:val="TOC1"/>
            <w:tabs>
              <w:tab w:val="right" w:leader="dot" w:pos="9350"/>
            </w:tabs>
            <w:rPr>
              <w:rFonts w:asciiTheme="minorHAnsi" w:eastAsiaTheme="minorEastAsia" w:hAnsiTheme="minorHAnsi" w:cstheme="minorBidi"/>
              <w:noProof/>
              <w:sz w:val="22"/>
              <w:szCs w:val="22"/>
            </w:rPr>
          </w:pPr>
          <w:hyperlink w:anchor="_Toc386465509" w:history="1">
            <w:r w:rsidR="00AA0833" w:rsidRPr="00267F54">
              <w:rPr>
                <w:rStyle w:val="Hyperlink"/>
                <w:noProof/>
              </w:rPr>
              <w:t>References</w:t>
            </w:r>
            <w:r w:rsidR="00AA0833">
              <w:rPr>
                <w:noProof/>
                <w:webHidden/>
              </w:rPr>
              <w:tab/>
            </w:r>
            <w:r w:rsidR="00AA0833">
              <w:rPr>
                <w:noProof/>
                <w:webHidden/>
              </w:rPr>
              <w:fldChar w:fldCharType="begin"/>
            </w:r>
            <w:r w:rsidR="00AA0833">
              <w:rPr>
                <w:noProof/>
                <w:webHidden/>
              </w:rPr>
              <w:instrText xml:space="preserve"> PAGEREF _Toc386465509 \h </w:instrText>
            </w:r>
            <w:r w:rsidR="00AA0833">
              <w:rPr>
                <w:noProof/>
                <w:webHidden/>
              </w:rPr>
            </w:r>
            <w:r w:rsidR="00AA0833">
              <w:rPr>
                <w:noProof/>
                <w:webHidden/>
              </w:rPr>
              <w:fldChar w:fldCharType="separate"/>
            </w:r>
            <w:r w:rsidR="00AA0833">
              <w:rPr>
                <w:noProof/>
                <w:webHidden/>
              </w:rPr>
              <w:t>14</w:t>
            </w:r>
            <w:r w:rsidR="00AA0833">
              <w:rPr>
                <w:noProof/>
                <w:webHidden/>
              </w:rPr>
              <w:fldChar w:fldCharType="end"/>
            </w:r>
          </w:hyperlink>
        </w:p>
        <w:p w:rsidR="00E736C9" w:rsidRDefault="00E736C9" w:rsidP="00AF1672">
          <w:r>
            <w:rPr>
              <w:b/>
              <w:bCs/>
              <w:noProof/>
            </w:rPr>
            <w:fldChar w:fldCharType="end"/>
          </w:r>
        </w:p>
      </w:sdtContent>
    </w:sdt>
    <w:p w:rsidR="00117779" w:rsidRDefault="00117779" w:rsidP="00D223CF"/>
    <w:p w:rsidR="00E736C9" w:rsidRDefault="00E736C9" w:rsidP="00D223CF"/>
    <w:p w:rsidR="00E736C9" w:rsidRDefault="00E736C9" w:rsidP="00D223CF"/>
    <w:p w:rsidR="00AF1672" w:rsidRDefault="00AF1672" w:rsidP="00D223CF"/>
    <w:p w:rsidR="00AF1672" w:rsidRDefault="00AF1672" w:rsidP="00D223CF"/>
    <w:p w:rsidR="00AF1672" w:rsidRDefault="00AF1672" w:rsidP="00D223CF"/>
    <w:p w:rsidR="00E736C9" w:rsidRDefault="00E736C9" w:rsidP="00D223CF"/>
    <w:p w:rsidR="00AF1672" w:rsidRPr="00AF1672" w:rsidRDefault="00AF1672" w:rsidP="00C22E78">
      <w:pPr>
        <w:pStyle w:val="Heading1"/>
      </w:pPr>
      <w:bookmarkStart w:id="7" w:name="_Toc386465484"/>
      <w:r w:rsidRPr="00AF1672">
        <w:t>List of Tables</w:t>
      </w:r>
      <w:bookmarkEnd w:id="7"/>
    </w:p>
    <w:p w:rsidR="005F544A" w:rsidRDefault="00AF1672">
      <w:pPr>
        <w:pStyle w:val="TableofFigures"/>
        <w:tabs>
          <w:tab w:val="right" w:leader="dot" w:pos="9350"/>
        </w:tabs>
        <w:rPr>
          <w:rFonts w:asciiTheme="minorHAnsi" w:eastAsiaTheme="minorEastAsia" w:hAnsiTheme="minorHAnsi" w:cstheme="minorBidi"/>
          <w:noProof/>
          <w:sz w:val="22"/>
          <w:szCs w:val="22"/>
        </w:rPr>
      </w:pPr>
      <w:r>
        <w:rPr>
          <w:b/>
          <w:sz w:val="36"/>
          <w:szCs w:val="36"/>
        </w:rPr>
        <w:fldChar w:fldCharType="begin"/>
      </w:r>
      <w:r>
        <w:rPr>
          <w:b/>
          <w:sz w:val="36"/>
          <w:szCs w:val="36"/>
        </w:rPr>
        <w:instrText xml:space="preserve"> TOC \h \z \t "Caption" \c </w:instrText>
      </w:r>
      <w:r>
        <w:rPr>
          <w:b/>
          <w:sz w:val="36"/>
          <w:szCs w:val="36"/>
        </w:rPr>
        <w:fldChar w:fldCharType="separate"/>
      </w:r>
      <w:hyperlink w:anchor="_Toc386632084" w:history="1">
        <w:r w:rsidR="005F544A" w:rsidRPr="00554EE4">
          <w:rPr>
            <w:rStyle w:val="Hyperlink"/>
            <w:noProof/>
          </w:rPr>
          <w:t>Table 1 DEER Difference Summary</w:t>
        </w:r>
        <w:r w:rsidR="005F544A">
          <w:rPr>
            <w:noProof/>
            <w:webHidden/>
          </w:rPr>
          <w:tab/>
        </w:r>
        <w:r w:rsidR="005F544A">
          <w:rPr>
            <w:noProof/>
            <w:webHidden/>
          </w:rPr>
          <w:fldChar w:fldCharType="begin"/>
        </w:r>
        <w:r w:rsidR="005F544A">
          <w:rPr>
            <w:noProof/>
            <w:webHidden/>
          </w:rPr>
          <w:instrText xml:space="preserve"> PAGEREF _Toc386632084 \h </w:instrText>
        </w:r>
        <w:r w:rsidR="005F544A">
          <w:rPr>
            <w:noProof/>
            <w:webHidden/>
          </w:rPr>
        </w:r>
        <w:r w:rsidR="005F544A">
          <w:rPr>
            <w:noProof/>
            <w:webHidden/>
          </w:rPr>
          <w:fldChar w:fldCharType="separate"/>
        </w:r>
        <w:r w:rsidR="005F544A">
          <w:rPr>
            <w:noProof/>
            <w:webHidden/>
          </w:rPr>
          <w:t>3</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85" w:history="1">
        <w:r w:rsidR="005F544A" w:rsidRPr="00554EE4">
          <w:rPr>
            <w:rStyle w:val="Hyperlink"/>
            <w:noProof/>
          </w:rPr>
          <w:t>Table 2 Net-to-Gross Ratio</w:t>
        </w:r>
        <w:r w:rsidR="005F544A">
          <w:rPr>
            <w:noProof/>
            <w:webHidden/>
          </w:rPr>
          <w:tab/>
        </w:r>
        <w:r w:rsidR="005F544A">
          <w:rPr>
            <w:noProof/>
            <w:webHidden/>
          </w:rPr>
          <w:fldChar w:fldCharType="begin"/>
        </w:r>
        <w:r w:rsidR="005F544A">
          <w:rPr>
            <w:noProof/>
            <w:webHidden/>
          </w:rPr>
          <w:instrText xml:space="preserve"> PAGEREF _Toc386632085 \h </w:instrText>
        </w:r>
        <w:r w:rsidR="005F544A">
          <w:rPr>
            <w:noProof/>
            <w:webHidden/>
          </w:rPr>
        </w:r>
        <w:r w:rsidR="005F544A">
          <w:rPr>
            <w:noProof/>
            <w:webHidden/>
          </w:rPr>
          <w:fldChar w:fldCharType="separate"/>
        </w:r>
        <w:r w:rsidR="005F544A">
          <w:rPr>
            <w:noProof/>
            <w:webHidden/>
          </w:rPr>
          <w:t>4</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86" w:history="1">
        <w:r w:rsidR="005F544A" w:rsidRPr="00554EE4">
          <w:rPr>
            <w:rStyle w:val="Hyperlink"/>
            <w:noProof/>
          </w:rPr>
          <w:t>Table 3 DEER08 EUL Value/Methodology</w:t>
        </w:r>
        <w:r w:rsidR="005F544A">
          <w:rPr>
            <w:noProof/>
            <w:webHidden/>
          </w:rPr>
          <w:tab/>
        </w:r>
        <w:r w:rsidR="005F544A">
          <w:rPr>
            <w:noProof/>
            <w:webHidden/>
          </w:rPr>
          <w:fldChar w:fldCharType="begin"/>
        </w:r>
        <w:r w:rsidR="005F544A">
          <w:rPr>
            <w:noProof/>
            <w:webHidden/>
          </w:rPr>
          <w:instrText xml:space="preserve"> PAGEREF _Toc386632086 \h </w:instrText>
        </w:r>
        <w:r w:rsidR="005F544A">
          <w:rPr>
            <w:noProof/>
            <w:webHidden/>
          </w:rPr>
        </w:r>
        <w:r w:rsidR="005F544A">
          <w:rPr>
            <w:noProof/>
            <w:webHidden/>
          </w:rPr>
          <w:fldChar w:fldCharType="separate"/>
        </w:r>
        <w:r w:rsidR="005F544A">
          <w:rPr>
            <w:noProof/>
            <w:webHidden/>
          </w:rPr>
          <w:t>6</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87" w:history="1">
        <w:r w:rsidR="005F544A" w:rsidRPr="00554EE4">
          <w:rPr>
            <w:rStyle w:val="Hyperlink"/>
            <w:noProof/>
          </w:rPr>
          <w:t>Table 4 Baseline by Measure Application Type</w:t>
        </w:r>
        <w:r w:rsidR="005F544A">
          <w:rPr>
            <w:noProof/>
            <w:webHidden/>
          </w:rPr>
          <w:tab/>
        </w:r>
        <w:r w:rsidR="005F544A">
          <w:rPr>
            <w:noProof/>
            <w:webHidden/>
          </w:rPr>
          <w:fldChar w:fldCharType="begin"/>
        </w:r>
        <w:r w:rsidR="005F544A">
          <w:rPr>
            <w:noProof/>
            <w:webHidden/>
          </w:rPr>
          <w:instrText xml:space="preserve"> PAGEREF _Toc386632087 \h </w:instrText>
        </w:r>
        <w:r w:rsidR="005F544A">
          <w:rPr>
            <w:noProof/>
            <w:webHidden/>
          </w:rPr>
        </w:r>
        <w:r w:rsidR="005F544A">
          <w:rPr>
            <w:noProof/>
            <w:webHidden/>
          </w:rPr>
          <w:fldChar w:fldCharType="separate"/>
        </w:r>
        <w:r w:rsidR="005F544A">
          <w:rPr>
            <w:noProof/>
            <w:webHidden/>
          </w:rPr>
          <w:t>6</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88" w:history="1">
        <w:r w:rsidR="005F544A" w:rsidRPr="00554EE4">
          <w:rPr>
            <w:rStyle w:val="Hyperlink"/>
            <w:noProof/>
          </w:rPr>
          <w:t>Table 5 Summary of Modeled Medium Temperature Vertical Display Cases</w:t>
        </w:r>
        <w:r w:rsidR="005F544A">
          <w:rPr>
            <w:noProof/>
            <w:webHidden/>
          </w:rPr>
          <w:tab/>
        </w:r>
        <w:r w:rsidR="005F544A">
          <w:rPr>
            <w:noProof/>
            <w:webHidden/>
          </w:rPr>
          <w:fldChar w:fldCharType="begin"/>
        </w:r>
        <w:r w:rsidR="005F544A">
          <w:rPr>
            <w:noProof/>
            <w:webHidden/>
          </w:rPr>
          <w:instrText xml:space="preserve"> PAGEREF _Toc386632088 \h </w:instrText>
        </w:r>
        <w:r w:rsidR="005F544A">
          <w:rPr>
            <w:noProof/>
            <w:webHidden/>
          </w:rPr>
        </w:r>
        <w:r w:rsidR="005F544A">
          <w:rPr>
            <w:noProof/>
            <w:webHidden/>
          </w:rPr>
          <w:fldChar w:fldCharType="separate"/>
        </w:r>
        <w:r w:rsidR="005F544A">
          <w:rPr>
            <w:noProof/>
            <w:webHidden/>
          </w:rPr>
          <w:t>8</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89" w:history="1">
        <w:r w:rsidR="005F544A" w:rsidRPr="00554EE4">
          <w:rPr>
            <w:rStyle w:val="Hyperlink"/>
            <w:noProof/>
          </w:rPr>
          <w:t>Table 6 Summary of Modeled Low Temperature Vertical Display Cases</w:t>
        </w:r>
        <w:r w:rsidR="005F544A">
          <w:rPr>
            <w:noProof/>
            <w:webHidden/>
          </w:rPr>
          <w:tab/>
        </w:r>
        <w:r w:rsidR="005F544A">
          <w:rPr>
            <w:noProof/>
            <w:webHidden/>
          </w:rPr>
          <w:fldChar w:fldCharType="begin"/>
        </w:r>
        <w:r w:rsidR="005F544A">
          <w:rPr>
            <w:noProof/>
            <w:webHidden/>
          </w:rPr>
          <w:instrText xml:space="preserve"> PAGEREF _Toc386632089 \h </w:instrText>
        </w:r>
        <w:r w:rsidR="005F544A">
          <w:rPr>
            <w:noProof/>
            <w:webHidden/>
          </w:rPr>
        </w:r>
        <w:r w:rsidR="005F544A">
          <w:rPr>
            <w:noProof/>
            <w:webHidden/>
          </w:rPr>
          <w:fldChar w:fldCharType="separate"/>
        </w:r>
        <w:r w:rsidR="005F544A">
          <w:rPr>
            <w:noProof/>
            <w:webHidden/>
          </w:rPr>
          <w:t>8</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90" w:history="1">
        <w:r w:rsidR="005F544A" w:rsidRPr="00554EE4">
          <w:rPr>
            <w:rStyle w:val="Hyperlink"/>
            <w:noProof/>
          </w:rPr>
          <w:t>Table 7 Hour Specifications for Peak Demand Calculations</w:t>
        </w:r>
        <w:r w:rsidR="005F544A">
          <w:rPr>
            <w:noProof/>
            <w:webHidden/>
          </w:rPr>
          <w:tab/>
        </w:r>
        <w:r w:rsidR="005F544A">
          <w:rPr>
            <w:noProof/>
            <w:webHidden/>
          </w:rPr>
          <w:fldChar w:fldCharType="begin"/>
        </w:r>
        <w:r w:rsidR="005F544A">
          <w:rPr>
            <w:noProof/>
            <w:webHidden/>
          </w:rPr>
          <w:instrText xml:space="preserve"> PAGEREF _Toc386632090 \h </w:instrText>
        </w:r>
        <w:r w:rsidR="005F544A">
          <w:rPr>
            <w:noProof/>
            <w:webHidden/>
          </w:rPr>
        </w:r>
        <w:r w:rsidR="005F544A">
          <w:rPr>
            <w:noProof/>
            <w:webHidden/>
          </w:rPr>
          <w:fldChar w:fldCharType="separate"/>
        </w:r>
        <w:r w:rsidR="005F544A">
          <w:rPr>
            <w:noProof/>
            <w:webHidden/>
          </w:rPr>
          <w:t>9</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91" w:history="1">
        <w:r w:rsidR="005F544A" w:rsidRPr="00554EE4">
          <w:rPr>
            <w:rStyle w:val="Hyperlink"/>
            <w:noProof/>
          </w:rPr>
          <w:t>Table 7 Hour Specifications for Peak Demand Calculations</w:t>
        </w:r>
        <w:r w:rsidR="005F544A">
          <w:rPr>
            <w:noProof/>
            <w:webHidden/>
          </w:rPr>
          <w:tab/>
        </w:r>
        <w:r w:rsidR="005F544A">
          <w:rPr>
            <w:noProof/>
            <w:webHidden/>
          </w:rPr>
          <w:fldChar w:fldCharType="begin"/>
        </w:r>
        <w:r w:rsidR="005F544A">
          <w:rPr>
            <w:noProof/>
            <w:webHidden/>
          </w:rPr>
          <w:instrText xml:space="preserve"> PAGEREF _Toc386632091 \h </w:instrText>
        </w:r>
        <w:r w:rsidR="005F544A">
          <w:rPr>
            <w:noProof/>
            <w:webHidden/>
          </w:rPr>
        </w:r>
        <w:r w:rsidR="005F544A">
          <w:rPr>
            <w:noProof/>
            <w:webHidden/>
          </w:rPr>
          <w:fldChar w:fldCharType="separate"/>
        </w:r>
        <w:r w:rsidR="005F544A">
          <w:rPr>
            <w:noProof/>
            <w:webHidden/>
          </w:rPr>
          <w:t>10</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92" w:history="1">
        <w:r w:rsidR="005F544A" w:rsidRPr="00554EE4">
          <w:rPr>
            <w:rStyle w:val="Hyperlink"/>
            <w:noProof/>
          </w:rPr>
          <w:t>Table 8 Summary of Base Case Costs</w:t>
        </w:r>
        <w:r w:rsidR="005F544A">
          <w:rPr>
            <w:noProof/>
            <w:webHidden/>
          </w:rPr>
          <w:tab/>
        </w:r>
        <w:r w:rsidR="005F544A">
          <w:rPr>
            <w:noProof/>
            <w:webHidden/>
          </w:rPr>
          <w:fldChar w:fldCharType="begin"/>
        </w:r>
        <w:r w:rsidR="005F544A">
          <w:rPr>
            <w:noProof/>
            <w:webHidden/>
          </w:rPr>
          <w:instrText xml:space="preserve"> PAGEREF _Toc386632092 \h </w:instrText>
        </w:r>
        <w:r w:rsidR="005F544A">
          <w:rPr>
            <w:noProof/>
            <w:webHidden/>
          </w:rPr>
        </w:r>
        <w:r w:rsidR="005F544A">
          <w:rPr>
            <w:noProof/>
            <w:webHidden/>
          </w:rPr>
          <w:fldChar w:fldCharType="separate"/>
        </w:r>
        <w:r w:rsidR="005F544A">
          <w:rPr>
            <w:noProof/>
            <w:webHidden/>
          </w:rPr>
          <w:t>11</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93" w:history="1">
        <w:r w:rsidR="005F544A" w:rsidRPr="00554EE4">
          <w:rPr>
            <w:rStyle w:val="Hyperlink"/>
            <w:noProof/>
          </w:rPr>
          <w:t>Table 9 Summary of Measure Case Costs</w:t>
        </w:r>
        <w:r w:rsidR="005F544A">
          <w:rPr>
            <w:noProof/>
            <w:webHidden/>
          </w:rPr>
          <w:tab/>
        </w:r>
        <w:r w:rsidR="005F544A">
          <w:rPr>
            <w:noProof/>
            <w:webHidden/>
          </w:rPr>
          <w:fldChar w:fldCharType="begin"/>
        </w:r>
        <w:r w:rsidR="005F544A">
          <w:rPr>
            <w:noProof/>
            <w:webHidden/>
          </w:rPr>
          <w:instrText xml:space="preserve"> PAGEREF _Toc386632093 \h </w:instrText>
        </w:r>
        <w:r w:rsidR="005F544A">
          <w:rPr>
            <w:noProof/>
            <w:webHidden/>
          </w:rPr>
        </w:r>
        <w:r w:rsidR="005F544A">
          <w:rPr>
            <w:noProof/>
            <w:webHidden/>
          </w:rPr>
          <w:fldChar w:fldCharType="separate"/>
        </w:r>
        <w:r w:rsidR="005F544A">
          <w:rPr>
            <w:noProof/>
            <w:webHidden/>
          </w:rPr>
          <w:t>11</w:t>
        </w:r>
        <w:r w:rsidR="005F544A">
          <w:rPr>
            <w:noProof/>
            <w:webHidden/>
          </w:rPr>
          <w:fldChar w:fldCharType="end"/>
        </w:r>
      </w:hyperlink>
    </w:p>
    <w:p w:rsidR="005F544A" w:rsidRDefault="00ED7203">
      <w:pPr>
        <w:pStyle w:val="TableofFigures"/>
        <w:tabs>
          <w:tab w:val="right" w:leader="dot" w:pos="9350"/>
        </w:tabs>
        <w:rPr>
          <w:rFonts w:asciiTheme="minorHAnsi" w:eastAsiaTheme="minorEastAsia" w:hAnsiTheme="minorHAnsi" w:cstheme="minorBidi"/>
          <w:noProof/>
          <w:sz w:val="22"/>
          <w:szCs w:val="22"/>
        </w:rPr>
      </w:pPr>
      <w:hyperlink w:anchor="_Toc386632094" w:history="1">
        <w:r w:rsidR="005F544A" w:rsidRPr="00554EE4">
          <w:rPr>
            <w:rStyle w:val="Hyperlink"/>
            <w:noProof/>
          </w:rPr>
          <w:t>Table 10 Summary of Section 4 Costs</w:t>
        </w:r>
        <w:r w:rsidR="005F544A">
          <w:rPr>
            <w:noProof/>
            <w:webHidden/>
          </w:rPr>
          <w:tab/>
        </w:r>
        <w:r w:rsidR="005F544A">
          <w:rPr>
            <w:noProof/>
            <w:webHidden/>
          </w:rPr>
          <w:fldChar w:fldCharType="begin"/>
        </w:r>
        <w:r w:rsidR="005F544A">
          <w:rPr>
            <w:noProof/>
            <w:webHidden/>
          </w:rPr>
          <w:instrText xml:space="preserve"> PAGEREF _Toc386632094 \h </w:instrText>
        </w:r>
        <w:r w:rsidR="005F544A">
          <w:rPr>
            <w:noProof/>
            <w:webHidden/>
          </w:rPr>
        </w:r>
        <w:r w:rsidR="005F544A">
          <w:rPr>
            <w:noProof/>
            <w:webHidden/>
          </w:rPr>
          <w:fldChar w:fldCharType="separate"/>
        </w:r>
        <w:r w:rsidR="005F544A">
          <w:rPr>
            <w:noProof/>
            <w:webHidden/>
          </w:rPr>
          <w:t>12</w:t>
        </w:r>
        <w:r w:rsidR="005F544A">
          <w:rPr>
            <w:noProof/>
            <w:webHidden/>
          </w:rPr>
          <w:fldChar w:fldCharType="end"/>
        </w:r>
      </w:hyperlink>
    </w:p>
    <w:p w:rsidR="00A46AA5" w:rsidRDefault="00AF1672" w:rsidP="00117779">
      <w:pPr>
        <w:rPr>
          <w:b/>
          <w:sz w:val="36"/>
          <w:szCs w:val="36"/>
        </w:rPr>
      </w:pPr>
      <w:r>
        <w:rPr>
          <w:b/>
          <w:sz w:val="36"/>
          <w:szCs w:val="36"/>
        </w:rPr>
        <w:fldChar w:fldCharType="end"/>
      </w:r>
    </w:p>
    <w:p w:rsidR="00AA0833" w:rsidRDefault="00AA0833" w:rsidP="006C578E">
      <w:pPr>
        <w:pStyle w:val="Heading1"/>
        <w:sectPr w:rsidR="00AA0833" w:rsidSect="00AA0833">
          <w:endnotePr>
            <w:numFmt w:val="decimal"/>
          </w:endnotePr>
          <w:pgSz w:w="12240" w:h="15840"/>
          <w:pgMar w:top="1440" w:right="1440" w:bottom="1557" w:left="1440" w:header="720" w:footer="720" w:gutter="0"/>
          <w:pgNumType w:fmt="lowerRoman"/>
          <w:cols w:space="720"/>
          <w:docGrid w:linePitch="360"/>
        </w:sectPr>
      </w:pPr>
    </w:p>
    <w:p w:rsidR="00E16609" w:rsidRPr="006C578E" w:rsidRDefault="00E16609" w:rsidP="006C578E">
      <w:pPr>
        <w:pStyle w:val="Heading1"/>
      </w:pPr>
      <w:bookmarkStart w:id="8" w:name="_Toc386465485"/>
      <w:proofErr w:type="gramStart"/>
      <w:r w:rsidRPr="006C578E">
        <w:t>Section 1.</w:t>
      </w:r>
      <w:proofErr w:type="gramEnd"/>
      <w:r w:rsidRPr="006C578E">
        <w:t xml:space="preserve"> General Measure &amp; Baseline Data</w:t>
      </w:r>
      <w:bookmarkEnd w:id="0"/>
      <w:bookmarkEnd w:id="8"/>
    </w:p>
    <w:p w:rsidR="00E16609" w:rsidRPr="006C578E" w:rsidRDefault="00824F1C" w:rsidP="006C578E">
      <w:pPr>
        <w:pStyle w:val="Heading2"/>
      </w:pPr>
      <w:bookmarkStart w:id="9" w:name="_Toc214003083"/>
      <w:bookmarkStart w:id="10" w:name="_Toc386465486"/>
      <w:r w:rsidRPr="006C578E">
        <w:t xml:space="preserve">1.1 </w:t>
      </w:r>
      <w:bookmarkEnd w:id="9"/>
      <w:r w:rsidR="002F1DDC" w:rsidRPr="006C578E">
        <w:t>Product Measure Description &amp; Background</w:t>
      </w:r>
      <w:bookmarkEnd w:id="10"/>
    </w:p>
    <w:p w:rsidR="005B28C1" w:rsidRPr="00E736C9" w:rsidRDefault="00057F13" w:rsidP="00E736C9">
      <w:pPr>
        <w:rPr>
          <w:b/>
          <w:sz w:val="26"/>
          <w:szCs w:val="26"/>
        </w:rPr>
      </w:pPr>
      <w:r w:rsidRPr="00E736C9">
        <w:rPr>
          <w:b/>
          <w:sz w:val="26"/>
          <w:szCs w:val="26"/>
        </w:rPr>
        <w:t>Measure</w:t>
      </w:r>
      <w:r w:rsidR="002F1DDC" w:rsidRPr="00E736C9">
        <w:rPr>
          <w:b/>
          <w:sz w:val="26"/>
          <w:szCs w:val="26"/>
        </w:rPr>
        <w:t xml:space="preserve"> Description </w:t>
      </w:r>
    </w:p>
    <w:p w:rsidR="00223944" w:rsidRPr="003F047F" w:rsidRDefault="00F4619A" w:rsidP="00BF441E">
      <w:pPr>
        <w:pStyle w:val="Reminders"/>
        <w:tabs>
          <w:tab w:val="num" w:pos="360"/>
        </w:tabs>
        <w:ind w:left="360"/>
        <w:rPr>
          <w:rFonts w:ascii="Times New Roman" w:hAnsi="Times New Roman"/>
          <w:i w:val="0"/>
          <w:color w:val="auto"/>
        </w:rPr>
      </w:pPr>
      <w:r w:rsidRPr="003F047F">
        <w:rPr>
          <w:rFonts w:ascii="Times New Roman" w:hAnsi="Times New Roman"/>
          <w:i w:val="0"/>
          <w:color w:val="auto"/>
        </w:rPr>
        <w:t xml:space="preserve">This work paper </w:t>
      </w:r>
      <w:r w:rsidR="00253AE5">
        <w:rPr>
          <w:rFonts w:ascii="Times New Roman" w:hAnsi="Times New Roman"/>
          <w:i w:val="0"/>
          <w:color w:val="auto"/>
        </w:rPr>
        <w:t>discusses the replacement of existing</w:t>
      </w:r>
      <w:r w:rsidRPr="003F047F">
        <w:rPr>
          <w:rFonts w:ascii="Times New Roman" w:hAnsi="Times New Roman"/>
          <w:i w:val="0"/>
          <w:color w:val="auto"/>
        </w:rPr>
        <w:t xml:space="preserve"> open vertical (or multi-deck) low-temperature (LT) and medium-temperature (MT) display cases with</w:t>
      </w:r>
      <w:r w:rsidR="00FC4D33">
        <w:rPr>
          <w:rFonts w:ascii="Times New Roman" w:hAnsi="Times New Roman"/>
          <w:i w:val="0"/>
          <w:color w:val="auto"/>
        </w:rPr>
        <w:t xml:space="preserve"> new</w:t>
      </w:r>
      <w:r w:rsidRPr="003F047F">
        <w:rPr>
          <w:rFonts w:ascii="Times New Roman" w:hAnsi="Times New Roman"/>
          <w:i w:val="0"/>
          <w:color w:val="auto"/>
        </w:rPr>
        <w:t xml:space="preserve"> reach-in glass door display cases. These types of display cases can be found in small and medium-to-large size grocery stores. Medium-temperature </w:t>
      </w:r>
      <w:r w:rsidR="00FC4D33">
        <w:rPr>
          <w:rFonts w:ascii="Times New Roman" w:hAnsi="Times New Roman"/>
          <w:i w:val="0"/>
          <w:color w:val="auto"/>
        </w:rPr>
        <w:t xml:space="preserve">refrigerated </w:t>
      </w:r>
      <w:r w:rsidRPr="003F047F">
        <w:rPr>
          <w:rFonts w:ascii="Times New Roman" w:hAnsi="Times New Roman"/>
          <w:i w:val="0"/>
          <w:color w:val="auto"/>
        </w:rPr>
        <w:t xml:space="preserve">display cases are used to stock dairy, deli, fish and meat. Low-temperature </w:t>
      </w:r>
      <w:r w:rsidR="00FC4D33">
        <w:rPr>
          <w:rFonts w:ascii="Times New Roman" w:hAnsi="Times New Roman"/>
          <w:i w:val="0"/>
          <w:color w:val="auto"/>
        </w:rPr>
        <w:t>refrigerated</w:t>
      </w:r>
      <w:r w:rsidR="003D3451">
        <w:rPr>
          <w:rFonts w:ascii="Times New Roman" w:hAnsi="Times New Roman"/>
          <w:i w:val="0"/>
          <w:color w:val="auto"/>
        </w:rPr>
        <w:t xml:space="preserve"> </w:t>
      </w:r>
      <w:r w:rsidRPr="003F047F">
        <w:rPr>
          <w:rFonts w:ascii="Times New Roman" w:hAnsi="Times New Roman"/>
          <w:i w:val="0"/>
          <w:color w:val="auto"/>
        </w:rPr>
        <w:t xml:space="preserve">display cases are used to stock frozen food and ice cream. </w:t>
      </w:r>
    </w:p>
    <w:p w:rsidR="00F4619A" w:rsidRPr="00E736C9" w:rsidRDefault="00F4619A" w:rsidP="005B28C1">
      <w:pPr>
        <w:pStyle w:val="Reminders"/>
        <w:rPr>
          <w:rFonts w:ascii="Times New Roman" w:hAnsi="Times New Roman"/>
          <w:b/>
          <w:i w:val="0"/>
          <w:color w:val="auto"/>
          <w:sz w:val="26"/>
          <w:szCs w:val="26"/>
        </w:rPr>
      </w:pPr>
    </w:p>
    <w:p w:rsidR="005B28C1" w:rsidRPr="00E736C9" w:rsidRDefault="00E95FA2" w:rsidP="005B28C1">
      <w:pPr>
        <w:pStyle w:val="Reminders"/>
        <w:rPr>
          <w:rFonts w:ascii="Times New Roman" w:hAnsi="Times New Roman"/>
          <w:b/>
          <w:i w:val="0"/>
          <w:color w:val="auto"/>
          <w:sz w:val="26"/>
          <w:szCs w:val="26"/>
        </w:rPr>
      </w:pPr>
      <w:r w:rsidRPr="00E736C9">
        <w:rPr>
          <w:rFonts w:ascii="Times New Roman" w:hAnsi="Times New Roman"/>
          <w:b/>
          <w:i w:val="0"/>
          <w:color w:val="auto"/>
          <w:sz w:val="26"/>
          <w:szCs w:val="26"/>
        </w:rPr>
        <w:t>Program Restrictions and Guidelines</w:t>
      </w:r>
    </w:p>
    <w:p w:rsidR="00E95FA2" w:rsidRDefault="00E95FA2" w:rsidP="005B28C1">
      <w:pPr>
        <w:pStyle w:val="Reminders"/>
        <w:rPr>
          <w:rFonts w:ascii="Times New Roman" w:hAnsi="Times New Roman"/>
          <w:i w:val="0"/>
          <w:color w:val="auto"/>
        </w:rPr>
      </w:pPr>
    </w:p>
    <w:p w:rsidR="00E95FA2" w:rsidRDefault="00E95FA2" w:rsidP="005B28C1">
      <w:pPr>
        <w:pStyle w:val="Reminders"/>
        <w:rPr>
          <w:rFonts w:ascii="Times New Roman" w:hAnsi="Times New Roman"/>
          <w:i w:val="0"/>
          <w:color w:val="auto"/>
        </w:rPr>
      </w:pPr>
      <w:r>
        <w:rPr>
          <w:rFonts w:ascii="Times New Roman" w:hAnsi="Times New Roman"/>
          <w:i w:val="0"/>
          <w:color w:val="auto"/>
        </w:rPr>
        <w:tab/>
      </w:r>
      <w:r w:rsidRPr="00E95FA2">
        <w:rPr>
          <w:rFonts w:ascii="Times New Roman" w:hAnsi="Times New Roman"/>
          <w:b/>
          <w:i w:val="0"/>
          <w:color w:val="auto"/>
        </w:rPr>
        <w:t>Terms and Conditions</w:t>
      </w:r>
      <w:r>
        <w:rPr>
          <w:rFonts w:ascii="Times New Roman" w:hAnsi="Times New Roman"/>
          <w:i w:val="0"/>
          <w:color w:val="auto"/>
        </w:rPr>
        <w:t>:</w:t>
      </w:r>
    </w:p>
    <w:p w:rsidR="00E95FA2" w:rsidRDefault="00E95FA2" w:rsidP="005B28C1">
      <w:pPr>
        <w:pStyle w:val="Reminders"/>
        <w:rPr>
          <w:rFonts w:ascii="Times New Roman" w:hAnsi="Times New Roman"/>
          <w:i w:val="0"/>
          <w:color w:val="auto"/>
        </w:rPr>
      </w:pPr>
    </w:p>
    <w:p w:rsidR="00E95FA2" w:rsidRDefault="00E95FA2" w:rsidP="00E95FA2">
      <w:pPr>
        <w:pStyle w:val="Reminders"/>
        <w:numPr>
          <w:ilvl w:val="0"/>
          <w:numId w:val="15"/>
        </w:numPr>
        <w:rPr>
          <w:rFonts w:ascii="Times New Roman" w:hAnsi="Times New Roman"/>
          <w:i w:val="0"/>
          <w:color w:val="auto"/>
        </w:rPr>
      </w:pPr>
      <w:r>
        <w:rPr>
          <w:rFonts w:ascii="Times New Roman" w:hAnsi="Times New Roman"/>
          <w:i w:val="0"/>
          <w:color w:val="auto"/>
        </w:rPr>
        <w:t>Installation address must have a commercial electric account with PG&amp;E.</w:t>
      </w:r>
    </w:p>
    <w:p w:rsidR="00E95FA2" w:rsidRDefault="00E95FA2" w:rsidP="00E95FA2">
      <w:pPr>
        <w:pStyle w:val="Reminders"/>
        <w:numPr>
          <w:ilvl w:val="0"/>
          <w:numId w:val="15"/>
        </w:numPr>
        <w:rPr>
          <w:rFonts w:ascii="Times New Roman" w:hAnsi="Times New Roman"/>
          <w:i w:val="0"/>
          <w:color w:val="auto"/>
        </w:rPr>
      </w:pPr>
      <w:r>
        <w:rPr>
          <w:rFonts w:ascii="Times New Roman" w:hAnsi="Times New Roman"/>
          <w:i w:val="0"/>
          <w:color w:val="auto"/>
        </w:rPr>
        <w:t>Must replace an existing, open multi-deck display case with a new reach-in unit with doors, Electronically Commutated Motor (ECM) evaporator fan(s)</w:t>
      </w:r>
      <w:r w:rsidR="00057B54">
        <w:rPr>
          <w:rFonts w:ascii="Times New Roman" w:hAnsi="Times New Roman"/>
          <w:i w:val="0"/>
          <w:color w:val="auto"/>
        </w:rPr>
        <w:t>,</w:t>
      </w:r>
      <w:r>
        <w:rPr>
          <w:rFonts w:ascii="Times New Roman" w:hAnsi="Times New Roman"/>
          <w:i w:val="0"/>
          <w:color w:val="auto"/>
        </w:rPr>
        <w:t xml:space="preserve"> and LED lighting.</w:t>
      </w:r>
    </w:p>
    <w:p w:rsidR="00E95FA2" w:rsidRDefault="003F20C7" w:rsidP="00E95FA2">
      <w:pPr>
        <w:pStyle w:val="Reminders"/>
        <w:numPr>
          <w:ilvl w:val="0"/>
          <w:numId w:val="15"/>
        </w:numPr>
        <w:rPr>
          <w:rFonts w:ascii="Times New Roman" w:hAnsi="Times New Roman"/>
          <w:i w:val="0"/>
          <w:color w:val="auto"/>
        </w:rPr>
      </w:pPr>
      <w:r>
        <w:rPr>
          <w:rFonts w:ascii="Times New Roman" w:hAnsi="Times New Roman"/>
          <w:i w:val="0"/>
          <w:color w:val="auto"/>
        </w:rPr>
        <w:t>Medium temperature cases must have no heat in the door. Heat is allowed in the frames of medium temperature cases. Low temperature door and frame heaters combined may not consume more than 50 W/</w:t>
      </w:r>
      <w:proofErr w:type="spellStart"/>
      <w:r>
        <w:rPr>
          <w:rFonts w:ascii="Times New Roman" w:hAnsi="Times New Roman"/>
          <w:i w:val="0"/>
          <w:color w:val="auto"/>
        </w:rPr>
        <w:t>ft</w:t>
      </w:r>
      <w:proofErr w:type="spellEnd"/>
      <w:r>
        <w:rPr>
          <w:rFonts w:ascii="Times New Roman" w:hAnsi="Times New Roman"/>
          <w:i w:val="0"/>
          <w:color w:val="auto"/>
        </w:rPr>
        <w:t xml:space="preserve"> of case length.</w:t>
      </w:r>
    </w:p>
    <w:p w:rsidR="003F20C7" w:rsidRDefault="003F20C7" w:rsidP="00E95FA2">
      <w:pPr>
        <w:pStyle w:val="Reminders"/>
        <w:numPr>
          <w:ilvl w:val="0"/>
          <w:numId w:val="15"/>
        </w:numPr>
        <w:rPr>
          <w:rFonts w:ascii="Times New Roman" w:hAnsi="Times New Roman"/>
          <w:i w:val="0"/>
          <w:color w:val="auto"/>
        </w:rPr>
      </w:pPr>
      <w:r>
        <w:rPr>
          <w:rFonts w:ascii="Times New Roman" w:hAnsi="Times New Roman"/>
          <w:i w:val="0"/>
          <w:color w:val="auto"/>
        </w:rPr>
        <w:t xml:space="preserve">New case length must be </w:t>
      </w:r>
      <w:r w:rsidR="00057B54">
        <w:rPr>
          <w:rFonts w:ascii="Times New Roman" w:hAnsi="Times New Roman"/>
          <w:i w:val="0"/>
          <w:color w:val="auto"/>
        </w:rPr>
        <w:t>less than or equal to the original case length</w:t>
      </w:r>
      <w:r>
        <w:rPr>
          <w:rFonts w:ascii="Times New Roman" w:hAnsi="Times New Roman"/>
          <w:i w:val="0"/>
          <w:color w:val="auto"/>
        </w:rPr>
        <w:t>.</w:t>
      </w:r>
    </w:p>
    <w:p w:rsidR="003F20C7" w:rsidRDefault="003F20C7" w:rsidP="00E95FA2">
      <w:pPr>
        <w:pStyle w:val="Reminders"/>
        <w:numPr>
          <w:ilvl w:val="0"/>
          <w:numId w:val="15"/>
        </w:numPr>
        <w:rPr>
          <w:rFonts w:ascii="Times New Roman" w:hAnsi="Times New Roman"/>
          <w:i w:val="0"/>
          <w:color w:val="auto"/>
        </w:rPr>
      </w:pPr>
      <w:r>
        <w:rPr>
          <w:rFonts w:ascii="Times New Roman" w:hAnsi="Times New Roman"/>
          <w:i w:val="0"/>
          <w:color w:val="auto"/>
        </w:rPr>
        <w:t>This measure is only for cases served by a remote refrigeration system.</w:t>
      </w:r>
    </w:p>
    <w:p w:rsidR="00DE23C6" w:rsidRPr="00C12C36" w:rsidRDefault="003F20C7" w:rsidP="00C12C36">
      <w:pPr>
        <w:pStyle w:val="Reminders"/>
        <w:numPr>
          <w:ilvl w:val="0"/>
          <w:numId w:val="15"/>
        </w:numPr>
        <w:rPr>
          <w:rFonts w:ascii="Times New Roman" w:hAnsi="Times New Roman"/>
          <w:i w:val="0"/>
          <w:color w:val="auto"/>
        </w:rPr>
      </w:pPr>
      <w:r>
        <w:rPr>
          <w:rFonts w:ascii="Times New Roman" w:hAnsi="Times New Roman"/>
          <w:i w:val="0"/>
          <w:color w:val="auto"/>
        </w:rPr>
        <w:t>Rebate is based on linear footage of new display case.</w:t>
      </w:r>
    </w:p>
    <w:p w:rsidR="003F20C7" w:rsidRDefault="003F20C7" w:rsidP="00E95FA2">
      <w:pPr>
        <w:pStyle w:val="Reminders"/>
        <w:numPr>
          <w:ilvl w:val="0"/>
          <w:numId w:val="15"/>
        </w:numPr>
        <w:rPr>
          <w:rFonts w:ascii="Times New Roman" w:hAnsi="Times New Roman"/>
          <w:i w:val="0"/>
          <w:color w:val="auto"/>
        </w:rPr>
      </w:pPr>
      <w:r>
        <w:rPr>
          <w:rFonts w:ascii="Times New Roman" w:hAnsi="Times New Roman"/>
          <w:i w:val="0"/>
          <w:color w:val="auto"/>
        </w:rPr>
        <w:t>Exclusions: Specialty deli cases, custom coolers/freezers and walk-in boxes with reach-in doors do not qualify.</w:t>
      </w:r>
      <w:r w:rsidR="00DE23C6">
        <w:rPr>
          <w:rFonts w:ascii="Times New Roman" w:hAnsi="Times New Roman"/>
          <w:i w:val="0"/>
          <w:color w:val="auto"/>
        </w:rPr>
        <w:t xml:space="preserve"> </w:t>
      </w:r>
      <w:r w:rsidR="00057B54">
        <w:rPr>
          <w:rFonts w:ascii="Times New Roman" w:hAnsi="Times New Roman"/>
          <w:i w:val="0"/>
          <w:color w:val="auto"/>
        </w:rPr>
        <w:t>Refurbished cases are excluded</w:t>
      </w:r>
      <w:r w:rsidR="00C12C36">
        <w:rPr>
          <w:rFonts w:ascii="Times New Roman" w:hAnsi="Times New Roman"/>
          <w:i w:val="0"/>
          <w:color w:val="auto"/>
        </w:rPr>
        <w:t xml:space="preserve"> unless compliant with 2012 Federal Efficiency Standards.</w:t>
      </w:r>
    </w:p>
    <w:p w:rsidR="00C37D2E" w:rsidRPr="00C37D2E" w:rsidRDefault="00C37D2E" w:rsidP="00C37D2E">
      <w:pPr>
        <w:pStyle w:val="ListParagraph"/>
        <w:numPr>
          <w:ilvl w:val="0"/>
          <w:numId w:val="15"/>
        </w:numPr>
      </w:pPr>
      <w:r w:rsidRPr="00C37D2E">
        <w:t>Salvage, disposal or photographic records of replaced equipment should be part of program application requirements when early replacement or open-to-closed case conversion savings are being utilized to ensure the correct baseline is assumed for these measures.</w:t>
      </w:r>
    </w:p>
    <w:p w:rsidR="00C37D2E" w:rsidRPr="00C37D2E" w:rsidRDefault="00C37D2E" w:rsidP="00E95FA2">
      <w:pPr>
        <w:pStyle w:val="Reminders"/>
        <w:numPr>
          <w:ilvl w:val="0"/>
          <w:numId w:val="15"/>
        </w:numPr>
        <w:rPr>
          <w:rFonts w:ascii="Times New Roman" w:hAnsi="Times New Roman"/>
          <w:i w:val="0"/>
          <w:color w:val="auto"/>
        </w:rPr>
      </w:pPr>
      <w:r w:rsidRPr="00C37D2E">
        <w:rPr>
          <w:rFonts w:ascii="Times New Roman" w:hAnsi="Times New Roman"/>
          <w:i w:val="0"/>
          <w:color w:val="auto"/>
        </w:rPr>
        <w:t>Display case replacements that are part of large-scale store remodels and any new construction projects should be revised to be custom measures. Large-scale remodels are defined as any project involving 50% of the linear feet of refrigerated casework or 32 linear feet of casework replacements, whichever is less.</w:t>
      </w:r>
    </w:p>
    <w:p w:rsidR="00E736C9" w:rsidRDefault="00E736C9" w:rsidP="00E736C9">
      <w:pPr>
        <w:pStyle w:val="Reminders"/>
        <w:ind w:left="1440"/>
        <w:rPr>
          <w:rFonts w:ascii="Times New Roman" w:hAnsi="Times New Roman"/>
          <w:i w:val="0"/>
          <w:color w:val="auto"/>
        </w:rPr>
      </w:pPr>
    </w:p>
    <w:p w:rsidR="00A16435" w:rsidRDefault="00A16435" w:rsidP="00E736C9">
      <w:pPr>
        <w:pStyle w:val="Reminders"/>
        <w:ind w:left="1440"/>
        <w:rPr>
          <w:rFonts w:ascii="Times New Roman" w:hAnsi="Times New Roman"/>
          <w:i w:val="0"/>
          <w:color w:val="auto"/>
        </w:rPr>
      </w:pPr>
    </w:p>
    <w:p w:rsidR="00A16435" w:rsidRDefault="00A16435" w:rsidP="00E736C9">
      <w:pPr>
        <w:pStyle w:val="Reminders"/>
        <w:ind w:left="1440"/>
        <w:rPr>
          <w:rFonts w:ascii="Times New Roman" w:hAnsi="Times New Roman"/>
          <w:i w:val="0"/>
          <w:color w:val="auto"/>
        </w:rPr>
      </w:pPr>
    </w:p>
    <w:p w:rsidR="00A16435" w:rsidRDefault="00A16435" w:rsidP="00E736C9">
      <w:pPr>
        <w:pStyle w:val="Reminders"/>
        <w:ind w:left="1440"/>
        <w:rPr>
          <w:rFonts w:ascii="Times New Roman" w:hAnsi="Times New Roman"/>
          <w:i w:val="0"/>
          <w:color w:val="auto"/>
        </w:rPr>
      </w:pPr>
    </w:p>
    <w:p w:rsidR="00603307" w:rsidRPr="00E736C9" w:rsidRDefault="00603307" w:rsidP="00E736C9">
      <w:pPr>
        <w:rPr>
          <w:b/>
          <w:sz w:val="26"/>
          <w:szCs w:val="26"/>
        </w:rPr>
      </w:pPr>
      <w:r w:rsidRPr="00E736C9">
        <w:rPr>
          <w:b/>
          <w:sz w:val="26"/>
          <w:szCs w:val="26"/>
        </w:rPr>
        <w:t>Market applicability:</w:t>
      </w:r>
    </w:p>
    <w:p w:rsidR="00603307" w:rsidRDefault="00603307" w:rsidP="00603307"/>
    <w:p w:rsidR="00452B43" w:rsidRDefault="00452B43" w:rsidP="005F5457">
      <w:pPr>
        <w:ind w:left="720"/>
      </w:pPr>
      <w:r>
        <w:t xml:space="preserve">These measures are applicable for supermarkets and grocery stores containing stand-alone and/or multiplex compressor racks providing refrigeration to remote display cases and walk-ins. More specifically, this applies to supermarkets and grocery stores with both medium-temperature and low-temperature open multi-deck refrigeration cases. </w:t>
      </w:r>
    </w:p>
    <w:p w:rsidR="005762F5" w:rsidRDefault="005762F5" w:rsidP="00452B43"/>
    <w:p w:rsidR="005762F5" w:rsidRDefault="00FA57D7" w:rsidP="005F5457">
      <w:pPr>
        <w:ind w:firstLine="720"/>
      </w:pPr>
      <w:r w:rsidRPr="00FA57D7">
        <w:rPr>
          <w:b/>
        </w:rPr>
        <w:t>Type of Transaction</w:t>
      </w:r>
      <w:r>
        <w:t xml:space="preserve">: </w:t>
      </w:r>
    </w:p>
    <w:p w:rsidR="00FA57D7" w:rsidRDefault="00FA57D7" w:rsidP="00452B43"/>
    <w:p w:rsidR="00FA57D7" w:rsidRDefault="00FA57D7" w:rsidP="005F5457">
      <w:pPr>
        <w:ind w:left="720"/>
      </w:pPr>
      <w:r>
        <w:t>This measure is applicable for the Replace on Burnout</w:t>
      </w:r>
      <w:r w:rsidR="00736782">
        <w:t xml:space="preserve"> (ROB)</w:t>
      </w:r>
      <w:r w:rsidR="009F4DCF">
        <w:t xml:space="preserve"> scenario</w:t>
      </w:r>
      <w:r>
        <w:t>.</w:t>
      </w:r>
    </w:p>
    <w:p w:rsidR="004A4CB7" w:rsidRDefault="004A4CB7" w:rsidP="00452B43"/>
    <w:p w:rsidR="004A4CB7" w:rsidRPr="00070F29" w:rsidRDefault="004A4CB7" w:rsidP="006C578E">
      <w:pPr>
        <w:pStyle w:val="Heading2"/>
      </w:pPr>
      <w:bookmarkStart w:id="11" w:name="_Toc386465487"/>
      <w:r w:rsidRPr="00070F29">
        <w:t>1.2 Product Technical Description</w:t>
      </w:r>
      <w:bookmarkEnd w:id="11"/>
    </w:p>
    <w:p w:rsidR="004A4CB7" w:rsidRDefault="004A4CB7" w:rsidP="00FF5E4E"/>
    <w:p w:rsidR="004A4CB7" w:rsidRDefault="004A4CB7" w:rsidP="00FF5E4E">
      <w:pPr>
        <w:spacing w:after="120"/>
      </w:pPr>
      <w:r w:rsidRPr="00BB38AC">
        <w:t xml:space="preserve">Low-temperature </w:t>
      </w:r>
      <w:r>
        <w:t xml:space="preserve">(LT) </w:t>
      </w:r>
      <w:r w:rsidRPr="00BB38AC">
        <w:t xml:space="preserve">display cases are used to merchandise frozen food and ice cream.  Medium-temperature </w:t>
      </w:r>
      <w:r>
        <w:t xml:space="preserve">(MT) </w:t>
      </w:r>
      <w:r w:rsidRPr="00BB38AC">
        <w:t>display cases are used to merchandise dairy, deli, fish and meat</w:t>
      </w:r>
      <w:r>
        <w:t xml:space="preserve"> products</w:t>
      </w:r>
      <w:r w:rsidRPr="00BB38AC">
        <w:t xml:space="preserve">. </w:t>
      </w:r>
      <w:r w:rsidR="009A2ECF">
        <w:t xml:space="preserve">This </w:t>
      </w:r>
      <w:proofErr w:type="spellStart"/>
      <w:r w:rsidR="009A2ECF">
        <w:t>workpaper</w:t>
      </w:r>
      <w:proofErr w:type="spellEnd"/>
      <w:r w:rsidR="009A2ECF">
        <w:t xml:space="preserve"> defines </w:t>
      </w:r>
      <w:r w:rsidR="009A2ECF" w:rsidRPr="000616E3">
        <w:t>t</w:t>
      </w:r>
      <w:r w:rsidRPr="000616E3">
        <w:t xml:space="preserve">he evaporator temperature in low-temperature cases </w:t>
      </w:r>
      <w:r w:rsidR="00945FCE">
        <w:t>a</w:t>
      </w:r>
      <w:r w:rsidRPr="000616E3">
        <w:t>s maintained between -</w:t>
      </w:r>
      <w:r w:rsidR="000B68F8">
        <w:t>4</w:t>
      </w:r>
      <w:r w:rsidRPr="000616E3">
        <w:t>0°F and 0°F; th</w:t>
      </w:r>
      <w:r w:rsidR="00BB4BCB" w:rsidRPr="000616E3">
        <w:t xml:space="preserve">is </w:t>
      </w:r>
      <w:proofErr w:type="spellStart"/>
      <w:r w:rsidR="00BB4BCB" w:rsidRPr="000616E3">
        <w:t>workpaper</w:t>
      </w:r>
      <w:proofErr w:type="spellEnd"/>
      <w:r w:rsidR="00BB4BCB" w:rsidRPr="000616E3">
        <w:t xml:space="preserve"> defines</w:t>
      </w:r>
      <w:r w:rsidRPr="000616E3">
        <w:t xml:space="preserve"> evaporator temperature in medium-tempe</w:t>
      </w:r>
      <w:r w:rsidR="002B553F">
        <w:t>rature refrigeration equipment a</w:t>
      </w:r>
      <w:r w:rsidRPr="000616E3">
        <w:t xml:space="preserve">s maintained between 0°F and </w:t>
      </w:r>
      <w:r w:rsidR="000B68F8">
        <w:t>35</w:t>
      </w:r>
      <w:r w:rsidRPr="000616E3">
        <w:t>°F.</w:t>
      </w:r>
    </w:p>
    <w:p w:rsidR="004A4CB7" w:rsidRDefault="004A4CB7" w:rsidP="00FF5E4E">
      <w:pPr>
        <w:spacing w:after="120"/>
      </w:pPr>
      <w:r>
        <w:t xml:space="preserve">The main benefit of replacing open multi-deck cases with new enclosed multi-deck cases is the reduction in total cooling load due to reduced air infiltration. The infiltration load refers to the entrainment of warm and moist air from the sales area into the refrigerated space. </w:t>
      </w:r>
      <w:r w:rsidRPr="001643D4">
        <w:t xml:space="preserve">The infiltration </w:t>
      </w:r>
      <w:r w:rsidR="00310DF1" w:rsidRPr="001643D4">
        <w:t>l</w:t>
      </w:r>
      <w:r w:rsidRPr="001643D4">
        <w:t>oad accounts for more than 80% of the total cooling load of a multi-deck display case.</w:t>
      </w:r>
      <w:r w:rsidR="001F2075" w:rsidRPr="001643D4">
        <w:rPr>
          <w:rStyle w:val="EndnoteReference"/>
        </w:rPr>
        <w:endnoteReference w:id="2"/>
      </w:r>
      <w:r w:rsidR="001F2075">
        <w:t xml:space="preserve"> </w:t>
      </w:r>
      <w:r w:rsidR="00AD1361">
        <w:t xml:space="preserve">Therefore, any </w:t>
      </w:r>
      <w:r w:rsidR="00043BA2">
        <w:t xml:space="preserve">reduction in infiltration load </w:t>
      </w:r>
      <w:r w:rsidR="00FF5E4E">
        <w:t>can reduce refrigeration compressor power demand and energy usage</w:t>
      </w:r>
      <w:r w:rsidR="009159AA">
        <w:t xml:space="preserve"> significantly</w:t>
      </w:r>
      <w:r w:rsidR="00FF5E4E">
        <w:t>. It should be noted that installing cases with glass doors will likely result in an increase in anti-sweat heater</w:t>
      </w:r>
      <w:r w:rsidR="006006C5">
        <w:t xml:space="preserve"> (ASH)</w:t>
      </w:r>
      <w:r w:rsidR="00FF5E4E">
        <w:t xml:space="preserve"> load.</w:t>
      </w:r>
    </w:p>
    <w:p w:rsidR="00FF5E4E" w:rsidRDefault="00FF5E4E" w:rsidP="00FF5E4E">
      <w:pPr>
        <w:spacing w:after="120"/>
      </w:pPr>
      <w:r>
        <w:t>The energy savings and cost figures are calculated per linear foot of case. Calculations for all climate zones in PG&amp;E’s service territory have been performed for grocery store applications.</w:t>
      </w:r>
    </w:p>
    <w:p w:rsidR="00FF5E4E" w:rsidRPr="006C578E" w:rsidRDefault="00FF5E4E" w:rsidP="006C578E">
      <w:pPr>
        <w:pStyle w:val="Heading2"/>
      </w:pPr>
      <w:bookmarkStart w:id="12" w:name="_Toc386465488"/>
      <w:r w:rsidRPr="006C578E">
        <w:t xml:space="preserve">1.3 </w:t>
      </w:r>
      <w:r w:rsidR="00DD6B12">
        <w:t>Measure Application Type</w:t>
      </w:r>
      <w:bookmarkEnd w:id="12"/>
    </w:p>
    <w:p w:rsidR="00FF5E4E" w:rsidRDefault="00FF5E4E" w:rsidP="00FF5E4E"/>
    <w:p w:rsidR="00FF5E4E" w:rsidRDefault="00FF5E4E" w:rsidP="00FF5E4E">
      <w:r>
        <w:t>The DEER Measure Cost Data Users Guide, version 2.01, defines the terms as follows:</w:t>
      </w:r>
    </w:p>
    <w:p w:rsidR="00FF5E4E" w:rsidRDefault="00FF5E4E" w:rsidP="00FF5E4E"/>
    <w:p w:rsidR="00FF5E4E" w:rsidRDefault="00FF5E4E" w:rsidP="00FF5E4E">
      <w:pPr>
        <w:pStyle w:val="ListParagraph"/>
        <w:numPr>
          <w:ilvl w:val="0"/>
          <w:numId w:val="16"/>
        </w:numPr>
      </w:pPr>
      <w:r>
        <w:t>Replace on Burnout (ROB) – Replacing a technology at the end of its useful life.</w:t>
      </w:r>
    </w:p>
    <w:p w:rsidR="00FF5E4E" w:rsidRDefault="00FF5E4E" w:rsidP="00FF5E4E"/>
    <w:p w:rsidR="0028695E" w:rsidRDefault="00FF5E4E" w:rsidP="00FF5E4E">
      <w:r>
        <w:t xml:space="preserve">A replace on burnout implementation would signify that the open multi-deck case </w:t>
      </w:r>
      <w:r w:rsidR="00AB6B82">
        <w:t>is at the end of its useful life. For the ROB iterations of the measure, the energy savings were calculated by comparing the new reach-in multi-deck to a code compliant open multi-deck baseline</w:t>
      </w:r>
      <w:r w:rsidR="00201899">
        <w:t>.</w:t>
      </w:r>
    </w:p>
    <w:p w:rsidR="006D5F53" w:rsidRPr="00892F8C" w:rsidRDefault="006D5F53" w:rsidP="00FF5E4E"/>
    <w:p w:rsidR="00201899" w:rsidRPr="00070F29" w:rsidRDefault="00201899" w:rsidP="006C578E">
      <w:pPr>
        <w:pStyle w:val="Heading2"/>
      </w:pPr>
      <w:bookmarkStart w:id="13" w:name="_Toc386465489"/>
      <w:r w:rsidRPr="00070F29">
        <w:t>1.4 Product Base Case and Measure Case Data</w:t>
      </w:r>
      <w:bookmarkEnd w:id="13"/>
    </w:p>
    <w:p w:rsidR="00201899" w:rsidRDefault="00201899" w:rsidP="00FF5E4E"/>
    <w:p w:rsidR="00201899" w:rsidRPr="006C578E" w:rsidRDefault="006852AB" w:rsidP="00892F8C">
      <w:pPr>
        <w:pStyle w:val="Heading3"/>
      </w:pPr>
      <w:bookmarkStart w:id="14" w:name="_Toc386465490"/>
      <w:r w:rsidRPr="006C578E">
        <w:t xml:space="preserve">1.4.1 DEER </w:t>
      </w:r>
      <w:r w:rsidR="0097306C" w:rsidRPr="006C578E">
        <w:t>Differences Analysis</w:t>
      </w:r>
      <w:bookmarkEnd w:id="14"/>
    </w:p>
    <w:p w:rsidR="00C231EA" w:rsidRDefault="00C231EA" w:rsidP="00C231EA">
      <w:r>
        <w:t>The DEER 2005 measure does an excellent job of modeling the energy savings for replacing an open multi</w:t>
      </w:r>
      <w:r w:rsidR="009159AA">
        <w:t>-</w:t>
      </w:r>
      <w:r>
        <w:t>deck case with a new reach-in multi</w:t>
      </w:r>
      <w:r w:rsidR="009159AA">
        <w:t>-</w:t>
      </w:r>
      <w:r>
        <w:t>deck case of a 2005 vintage.</w:t>
      </w:r>
      <w:r w:rsidR="00057B54">
        <w:t xml:space="preserve"> However,</w:t>
      </w:r>
      <w:r>
        <w:t xml:space="preserve"> </w:t>
      </w:r>
      <w:r w:rsidR="00057B54">
        <w:t>t</w:t>
      </w:r>
      <w:r>
        <w:t>he energy efficiency</w:t>
      </w:r>
      <w:r w:rsidR="00057B54">
        <w:t xml:space="preserve"> level</w:t>
      </w:r>
      <w:r>
        <w:t xml:space="preserve"> of a </w:t>
      </w:r>
      <w:r w:rsidR="00692116">
        <w:t>new reach-in multi</w:t>
      </w:r>
      <w:r w:rsidR="009159AA">
        <w:t>-</w:t>
      </w:r>
      <w:r w:rsidR="00692116">
        <w:t>deck case today surpasses that of a standard case in 2005</w:t>
      </w:r>
      <w:r>
        <w:t xml:space="preserve">.  Reach-in cases </w:t>
      </w:r>
      <w:r w:rsidR="007102A0">
        <w:t xml:space="preserve">being </w:t>
      </w:r>
      <w:r>
        <w:t xml:space="preserve">installed by grocers now include LED lighting, doors and frames with no anti-sweat </w:t>
      </w:r>
      <w:r w:rsidR="00692116">
        <w:t>heat, and EC</w:t>
      </w:r>
      <w:r w:rsidR="00E67CE4">
        <w:t>M</w:t>
      </w:r>
      <w:r w:rsidR="00692116">
        <w:t xml:space="preserve"> motors. Some of the</w:t>
      </w:r>
      <w:r>
        <w:t xml:space="preserve">se high efficiency components are </w:t>
      </w:r>
      <w:r w:rsidR="00692116">
        <w:t xml:space="preserve">now </w:t>
      </w:r>
      <w:r w:rsidR="001E6CA8">
        <w:t>required by Federal A</w:t>
      </w:r>
      <w:r>
        <w:t xml:space="preserve">ppliance </w:t>
      </w:r>
      <w:r w:rsidR="001E6CA8">
        <w:t>S</w:t>
      </w:r>
      <w:r>
        <w:t>tandards. As expect</w:t>
      </w:r>
      <w:r w:rsidR="007102A0">
        <w:t>ed</w:t>
      </w:r>
      <w:r>
        <w:t xml:space="preserve">, most of the energy savings modeled for this measure </w:t>
      </w:r>
      <w:proofErr w:type="gramStart"/>
      <w:r>
        <w:t>are</w:t>
      </w:r>
      <w:proofErr w:type="gramEnd"/>
      <w:r>
        <w:t xml:space="preserve"> </w:t>
      </w:r>
      <w:r w:rsidR="00201B4C">
        <w:t>the</w:t>
      </w:r>
      <w:r w:rsidR="007102A0">
        <w:t xml:space="preserve"> result of the added</w:t>
      </w:r>
      <w:r>
        <w:t xml:space="preserve"> door</w:t>
      </w:r>
      <w:r w:rsidR="00201B4C">
        <w:t>s</w:t>
      </w:r>
      <w:r w:rsidR="007102A0">
        <w:t>.</w:t>
      </w:r>
      <w:r>
        <w:t xml:space="preserve"> </w:t>
      </w:r>
      <w:r w:rsidR="007102A0">
        <w:t>Acting a</w:t>
      </w:r>
      <w:r>
        <w:t>s an infiltration barrier</w:t>
      </w:r>
      <w:r w:rsidR="00201B4C">
        <w:t>,</w:t>
      </w:r>
      <w:r>
        <w:t xml:space="preserve"> </w:t>
      </w:r>
      <w:r w:rsidR="007102A0">
        <w:t>there is a</w:t>
      </w:r>
      <w:r>
        <w:t xml:space="preserve"> subsequent decrease in </w:t>
      </w:r>
      <w:r w:rsidR="001E6CA8">
        <w:t xml:space="preserve">the </w:t>
      </w:r>
      <w:r>
        <w:t xml:space="preserve">infiltration load. </w:t>
      </w:r>
      <w:r w:rsidR="0080060F" w:rsidRPr="00DF3832">
        <w:t>The magnitude of</w:t>
      </w:r>
      <w:r w:rsidRPr="00DF3832">
        <w:t xml:space="preserve"> infiltration reduction in the DEER measure </w:t>
      </w:r>
      <w:r w:rsidR="00057B54">
        <w:t>aligns</w:t>
      </w:r>
      <w:r w:rsidR="007102A0" w:rsidRPr="00DF3832">
        <w:t xml:space="preserve"> directly</w:t>
      </w:r>
      <w:r w:rsidRPr="00DF3832">
        <w:t xml:space="preserve"> with </w:t>
      </w:r>
      <w:r w:rsidR="007102A0" w:rsidRPr="00DF3832">
        <w:t xml:space="preserve">the </w:t>
      </w:r>
      <w:r w:rsidR="00DE23C6" w:rsidRPr="00DF3832">
        <w:t>analysis</w:t>
      </w:r>
      <w:r w:rsidRPr="00DF3832">
        <w:t xml:space="preserve"> </w:t>
      </w:r>
      <w:r w:rsidR="007102A0" w:rsidRPr="00DF3832">
        <w:t>found</w:t>
      </w:r>
      <w:r w:rsidRPr="00DF3832">
        <w:t xml:space="preserve"> in recent studies.</w:t>
      </w:r>
      <w:r w:rsidR="00E5040B" w:rsidRPr="00DF3832">
        <w:rPr>
          <w:rStyle w:val="EndnoteReference"/>
        </w:rPr>
        <w:endnoteReference w:id="3"/>
      </w:r>
      <w:r>
        <w:t xml:space="preserve"> </w:t>
      </w:r>
      <w:r w:rsidR="001F2075" w:rsidRPr="001E6CA8">
        <w:t xml:space="preserve">The DEER 2005 measure </w:t>
      </w:r>
      <w:r w:rsidR="001E6CA8" w:rsidRPr="001E6CA8">
        <w:t xml:space="preserve">however, </w:t>
      </w:r>
      <w:r w:rsidR="001F2075" w:rsidRPr="001E6CA8">
        <w:t>does not accuratel</w:t>
      </w:r>
      <w:r w:rsidR="001E6CA8" w:rsidRPr="001E6CA8">
        <w:t>y reflect modern case component technology and efficiency</w:t>
      </w:r>
      <w:r w:rsidRPr="001E6CA8">
        <w:t>.</w:t>
      </w:r>
    </w:p>
    <w:p w:rsidR="00C231EA" w:rsidRDefault="00C231EA" w:rsidP="00C231EA"/>
    <w:p w:rsidR="00C231EA" w:rsidRDefault="0080060F" w:rsidP="00C231EA">
      <w:r w:rsidRPr="00837694">
        <w:t>P</w:t>
      </w:r>
      <w:r w:rsidR="00C231EA" w:rsidRPr="00837694">
        <w:t>ower densities for lighting, ASH, and fans in the DEER measure do not reflect those that are currently installed and comp</w:t>
      </w:r>
      <w:r w:rsidRPr="00837694">
        <w:t>liant</w:t>
      </w:r>
      <w:r w:rsidR="00C231EA" w:rsidRPr="00837694">
        <w:t xml:space="preserve"> with </w:t>
      </w:r>
      <w:r w:rsidR="004557F7" w:rsidRPr="00837694">
        <w:t xml:space="preserve">the </w:t>
      </w:r>
      <w:r w:rsidR="00C231EA" w:rsidRPr="00837694">
        <w:t>2012 Federal Efficiency Standards</w:t>
      </w:r>
      <w:r w:rsidR="00C231EA">
        <w:t xml:space="preserve">.  </w:t>
      </w:r>
      <w:r w:rsidR="005B6696">
        <w:t>In the current DEER measure the</w:t>
      </w:r>
      <w:r w:rsidR="00C231EA">
        <w:t xml:space="preserve"> lighting and ASH power densities </w:t>
      </w:r>
      <w:r w:rsidR="005B6696">
        <w:t>actually increase</w:t>
      </w:r>
      <w:r w:rsidR="00C231EA">
        <w:t xml:space="preserve"> from the baseline and </w:t>
      </w:r>
      <w:r w:rsidR="005B6696">
        <w:t>result in a</w:t>
      </w:r>
      <w:r w:rsidR="00C231EA">
        <w:t xml:space="preserve">n energy penalty. The logic behind the penalty is sound; in 2005 when the measure was initially created, additional fluorescent case lights were installed to keep the product illuminated and heat was run through the doors and frames to prevent condensation and frost build up. Since then, and in large part driven by </w:t>
      </w:r>
      <w:r w:rsidR="00961483">
        <w:t xml:space="preserve">the </w:t>
      </w:r>
      <w:r w:rsidR="003E5378" w:rsidRPr="003E5378">
        <w:t>Federal S</w:t>
      </w:r>
      <w:r w:rsidR="00C231EA" w:rsidRPr="003E5378">
        <w:t>tandards</w:t>
      </w:r>
      <w:r w:rsidR="00C231EA">
        <w:t>, LED li</w:t>
      </w:r>
      <w:r w:rsidR="00CB2093">
        <w:t>ghting has become economically vi</w:t>
      </w:r>
      <w:r w:rsidR="00C231EA">
        <w:t xml:space="preserve">able in new cases </w:t>
      </w:r>
      <w:r w:rsidR="00961483">
        <w:t xml:space="preserve">resulting in better </w:t>
      </w:r>
      <w:r w:rsidR="00C231EA">
        <w:t>illuminat</w:t>
      </w:r>
      <w:r w:rsidR="00961483">
        <w:t>ion of</w:t>
      </w:r>
      <w:r w:rsidR="00C231EA">
        <w:t xml:space="preserve"> pro</w:t>
      </w:r>
      <w:r w:rsidR="00961483">
        <w:t>ducts while at the same time using</w:t>
      </w:r>
      <w:r w:rsidR="00C231EA">
        <w:t xml:space="preserve"> approximately the same, if not less, power. Anti-sweat heat</w:t>
      </w:r>
      <w:r w:rsidR="00925E75">
        <w:t xml:space="preserve"> (ASH)</w:t>
      </w:r>
      <w:r w:rsidR="00C231EA">
        <w:t xml:space="preserve"> can also be essentially eliminated through the use of more advanced doors and frames. Each of th</w:t>
      </w:r>
      <w:r w:rsidR="00CB2093">
        <w:t>e</w:t>
      </w:r>
      <w:r w:rsidR="00C231EA">
        <w:t xml:space="preserve">se components directly </w:t>
      </w:r>
      <w:r w:rsidR="007B2D18">
        <w:t>draws</w:t>
      </w:r>
      <w:r w:rsidR="00C231EA">
        <w:t xml:space="preserve"> power as well as indirectly </w:t>
      </w:r>
      <w:r w:rsidR="007B2D18">
        <w:t>interacts</w:t>
      </w:r>
      <w:r w:rsidR="00CB2093">
        <w:t xml:space="preserve"> with</w:t>
      </w:r>
      <w:r w:rsidR="00C231EA">
        <w:t xml:space="preserve"> compressor power consumption by contributing heat to the refrigerated space. </w:t>
      </w:r>
    </w:p>
    <w:p w:rsidR="00C231EA" w:rsidRDefault="00C231EA" w:rsidP="00C231EA"/>
    <w:p w:rsidR="00F537F6" w:rsidRDefault="00C231EA" w:rsidP="00C231EA">
      <w:r>
        <w:t xml:space="preserve">This </w:t>
      </w:r>
      <w:proofErr w:type="spellStart"/>
      <w:r>
        <w:t>workpaper</w:t>
      </w:r>
      <w:proofErr w:type="spellEnd"/>
      <w:r>
        <w:t xml:space="preserve"> is based on adjusting the DEER grocery prototype model. </w:t>
      </w:r>
      <w:r w:rsidR="00917A36">
        <w:t>In order to more accurately assess the energy savings of each measure, humidity controls congruent with the current grocery store market segment were implemented into the baseline model.</w:t>
      </w:r>
      <w:r w:rsidR="00917A36">
        <w:rPr>
          <w:rStyle w:val="EndnoteReference"/>
        </w:rPr>
        <w:endnoteReference w:id="4"/>
      </w:r>
      <w:r w:rsidR="00917A36">
        <w:t xml:space="preserve"> </w:t>
      </w:r>
      <w:r>
        <w:t>Medium temperature case baselines were updated with values to represent a 2012 Federal Code compliant open multi</w:t>
      </w:r>
      <w:r w:rsidR="001805E2">
        <w:t>-</w:t>
      </w:r>
      <w:r>
        <w:t>deck case. Medi</w:t>
      </w:r>
      <w:r w:rsidR="00B62DE3">
        <w:t>um temperature reach-in cases were</w:t>
      </w:r>
      <w:r>
        <w:t xml:space="preserve"> modeled to represent cases with LED lighting, EC</w:t>
      </w:r>
      <w:r w:rsidR="006006C5">
        <w:t>M</w:t>
      </w:r>
      <w:r>
        <w:t xml:space="preserve"> </w:t>
      </w:r>
      <w:proofErr w:type="gramStart"/>
      <w:r w:rsidR="00B62DE3">
        <w:t>evaporator fan</w:t>
      </w:r>
      <w:proofErr w:type="gramEnd"/>
      <w:r>
        <w:t xml:space="preserve"> motors, and doors without anti-sweat heat. Low temperature open refrigerated display case baselines were updated with values to represent a 2012 Federal Code complaint open multi</w:t>
      </w:r>
      <w:r w:rsidR="001805E2">
        <w:t>-</w:t>
      </w:r>
      <w:r>
        <w:t xml:space="preserve">deck case. Low temperature reach-in cases </w:t>
      </w:r>
      <w:r w:rsidR="00C65EC4">
        <w:t>we</w:t>
      </w:r>
      <w:r>
        <w:t xml:space="preserve">re modeled to represent cases with LED lighting, EC evaporator fan motors, and doors with low anti-sweat heat power. See </w:t>
      </w:r>
      <w:r w:rsidR="00C65EC4">
        <w:t>T</w:t>
      </w:r>
      <w:r>
        <w:t>able 1 for a summary of the differences.</w:t>
      </w:r>
    </w:p>
    <w:p w:rsidR="00553927" w:rsidRDefault="00553927" w:rsidP="00C231EA"/>
    <w:p w:rsidR="008B60C7" w:rsidRDefault="0097306C" w:rsidP="00892F8C">
      <w:pPr>
        <w:pStyle w:val="Caption"/>
      </w:pPr>
      <w:bookmarkStart w:id="15" w:name="_Toc386632084"/>
      <w:r w:rsidRPr="00966760">
        <w:t xml:space="preserve">Table </w:t>
      </w:r>
      <w:r w:rsidR="00966760">
        <w:t>1</w:t>
      </w:r>
      <w:r w:rsidR="00CF45F8">
        <w:t xml:space="preserve"> </w:t>
      </w:r>
      <w:r w:rsidRPr="00DE1BEA">
        <w:t xml:space="preserve">DEER Difference </w:t>
      </w:r>
      <w:r w:rsidRPr="00892F8C">
        <w:t>Summary</w:t>
      </w:r>
      <w:bookmarkEnd w:id="15"/>
    </w:p>
    <w:p w:rsidR="00AD31D1" w:rsidRPr="00DE1BEA" w:rsidRDefault="00AD31D1" w:rsidP="0097306C">
      <w:pPr>
        <w:jc w:val="center"/>
        <w:rPr>
          <w:b/>
        </w:rPr>
      </w:pPr>
    </w:p>
    <w:tbl>
      <w:tblPr>
        <w:tblStyle w:val="TableContemporary"/>
        <w:tblW w:w="0" w:type="auto"/>
        <w:tblLook w:val="04A0" w:firstRow="1" w:lastRow="0" w:firstColumn="1" w:lastColumn="0" w:noHBand="0" w:noVBand="1"/>
      </w:tblPr>
      <w:tblGrid>
        <w:gridCol w:w="4788"/>
        <w:gridCol w:w="4788"/>
      </w:tblGrid>
      <w:tr w:rsidR="0097306C" w:rsidTr="00AC53CA">
        <w:trPr>
          <w:cnfStyle w:val="100000000000" w:firstRow="1" w:lastRow="0" w:firstColumn="0" w:lastColumn="0" w:oddVBand="0" w:evenVBand="0" w:oddHBand="0" w:evenHBand="0" w:firstRowFirstColumn="0" w:firstRowLastColumn="0" w:lastRowFirstColumn="0" w:lastRowLastColumn="0"/>
        </w:trPr>
        <w:tc>
          <w:tcPr>
            <w:tcW w:w="4788" w:type="dxa"/>
            <w:vAlign w:val="center"/>
          </w:tcPr>
          <w:p w:rsidR="0097306C" w:rsidRPr="00AC53CA" w:rsidRDefault="0097306C" w:rsidP="00AC53CA">
            <w:pPr>
              <w:jc w:val="center"/>
              <w:rPr>
                <w:b w:val="0"/>
              </w:rPr>
            </w:pPr>
            <w:r w:rsidRPr="00AC53CA">
              <w:rPr>
                <w:b w:val="0"/>
              </w:rPr>
              <w:t>Modified DEER Methodology</w:t>
            </w:r>
          </w:p>
        </w:tc>
        <w:tc>
          <w:tcPr>
            <w:tcW w:w="4788" w:type="dxa"/>
            <w:vAlign w:val="center"/>
          </w:tcPr>
          <w:p w:rsidR="0097306C" w:rsidRPr="00AC53CA" w:rsidRDefault="00057B54" w:rsidP="00AC53CA">
            <w:pPr>
              <w:jc w:val="center"/>
              <w:rPr>
                <w:b w:val="0"/>
              </w:rPr>
            </w:pPr>
            <w:r>
              <w:rPr>
                <w:b w:val="0"/>
              </w:rPr>
              <w:t>Yes</w:t>
            </w:r>
          </w:p>
        </w:tc>
      </w:tr>
      <w:tr w:rsidR="0097306C" w:rsidTr="00AC53CA">
        <w:trPr>
          <w:cnfStyle w:val="000000100000" w:firstRow="0" w:lastRow="0" w:firstColumn="0" w:lastColumn="0" w:oddVBand="0" w:evenVBand="0" w:oddHBand="1" w:evenHBand="0" w:firstRowFirstColumn="0" w:firstRowLastColumn="0" w:lastRowFirstColumn="0" w:lastRowLastColumn="0"/>
        </w:trPr>
        <w:tc>
          <w:tcPr>
            <w:tcW w:w="4788" w:type="dxa"/>
            <w:vAlign w:val="center"/>
          </w:tcPr>
          <w:p w:rsidR="0097306C" w:rsidRDefault="0097306C" w:rsidP="00AC53CA">
            <w:pPr>
              <w:jc w:val="center"/>
            </w:pPr>
            <w:r>
              <w:t>Scaled DEER Measure</w:t>
            </w:r>
          </w:p>
        </w:tc>
        <w:tc>
          <w:tcPr>
            <w:tcW w:w="4788" w:type="dxa"/>
            <w:vAlign w:val="center"/>
          </w:tcPr>
          <w:p w:rsidR="0097306C" w:rsidRDefault="0097306C" w:rsidP="00AC53CA">
            <w:pPr>
              <w:jc w:val="center"/>
            </w:pPr>
            <w:r>
              <w:t>No</w:t>
            </w:r>
          </w:p>
        </w:tc>
      </w:tr>
      <w:tr w:rsidR="0097306C" w:rsidTr="00AC53CA">
        <w:trPr>
          <w:cnfStyle w:val="000000010000" w:firstRow="0" w:lastRow="0" w:firstColumn="0" w:lastColumn="0" w:oddVBand="0" w:evenVBand="0" w:oddHBand="0" w:evenHBand="1" w:firstRowFirstColumn="0" w:firstRowLastColumn="0" w:lastRowFirstColumn="0" w:lastRowLastColumn="0"/>
        </w:trPr>
        <w:tc>
          <w:tcPr>
            <w:tcW w:w="4788" w:type="dxa"/>
            <w:vAlign w:val="center"/>
          </w:tcPr>
          <w:p w:rsidR="0097306C" w:rsidRDefault="0097306C" w:rsidP="00AC53CA">
            <w:pPr>
              <w:jc w:val="center"/>
            </w:pPr>
            <w:r>
              <w:t>Deviation from DEER</w:t>
            </w:r>
          </w:p>
        </w:tc>
        <w:tc>
          <w:tcPr>
            <w:tcW w:w="4788" w:type="dxa"/>
            <w:vAlign w:val="center"/>
          </w:tcPr>
          <w:p w:rsidR="0097306C" w:rsidRDefault="00057B54" w:rsidP="00AC53CA">
            <w:pPr>
              <w:jc w:val="center"/>
            </w:pPr>
            <w:r>
              <w:t xml:space="preserve">Medium temperature baseline was adjusted to reflect 2012 </w:t>
            </w:r>
            <w:r w:rsidR="00D90821">
              <w:t>Federal Standards. Also,</w:t>
            </w:r>
            <w:r>
              <w:t xml:space="preserve"> </w:t>
            </w:r>
            <w:r w:rsidR="00F537F6">
              <w:t>DEER does not include retrofitting old vertical low-temperature display cases with low-temperature display cases with glass doors.</w:t>
            </w:r>
          </w:p>
        </w:tc>
      </w:tr>
      <w:tr w:rsidR="0097306C" w:rsidTr="00AC53CA">
        <w:trPr>
          <w:cnfStyle w:val="000000100000" w:firstRow="0" w:lastRow="0" w:firstColumn="0" w:lastColumn="0" w:oddVBand="0" w:evenVBand="0" w:oddHBand="1" w:evenHBand="0" w:firstRowFirstColumn="0" w:firstRowLastColumn="0" w:lastRowFirstColumn="0" w:lastRowLastColumn="0"/>
        </w:trPr>
        <w:tc>
          <w:tcPr>
            <w:tcW w:w="4788" w:type="dxa"/>
            <w:vAlign w:val="center"/>
          </w:tcPr>
          <w:p w:rsidR="0097306C" w:rsidRDefault="00F537F6" w:rsidP="00AC53CA">
            <w:pPr>
              <w:jc w:val="center"/>
            </w:pPr>
            <w:r>
              <w:t>DEER Version / Run ID</w:t>
            </w:r>
          </w:p>
        </w:tc>
        <w:tc>
          <w:tcPr>
            <w:tcW w:w="4788" w:type="dxa"/>
            <w:vAlign w:val="center"/>
          </w:tcPr>
          <w:p w:rsidR="0097306C" w:rsidRDefault="00F537F6" w:rsidP="00AC53CA">
            <w:pPr>
              <w:jc w:val="center"/>
            </w:pPr>
            <w:r>
              <w:t>DEER 05 / D03-207</w:t>
            </w:r>
          </w:p>
        </w:tc>
      </w:tr>
    </w:tbl>
    <w:p w:rsidR="00635792" w:rsidRDefault="00635792" w:rsidP="00892F8C">
      <w:pPr>
        <w:pStyle w:val="Heading3"/>
        <w:sectPr w:rsidR="00635792" w:rsidSect="00AA0833">
          <w:endnotePr>
            <w:numFmt w:val="decimal"/>
          </w:endnotePr>
          <w:pgSz w:w="12240" w:h="15840"/>
          <w:pgMar w:top="1440" w:right="1440" w:bottom="1557" w:left="1440" w:header="720" w:footer="720" w:gutter="0"/>
          <w:pgNumType w:start="1"/>
          <w:cols w:space="720"/>
          <w:docGrid w:linePitch="360"/>
        </w:sectPr>
      </w:pPr>
    </w:p>
    <w:p w:rsidR="00635792" w:rsidRDefault="00635792" w:rsidP="00892F8C">
      <w:pPr>
        <w:pStyle w:val="Heading3"/>
        <w:sectPr w:rsidR="00635792" w:rsidSect="00F11B2F">
          <w:endnotePr>
            <w:numFmt w:val="decimal"/>
          </w:endnotePr>
          <w:type w:val="continuous"/>
          <w:pgSz w:w="12240" w:h="15840"/>
          <w:pgMar w:top="1440" w:right="1440" w:bottom="1557" w:left="1440" w:header="720" w:footer="720" w:gutter="0"/>
          <w:pgNumType w:start="1"/>
          <w:cols w:space="720"/>
          <w:docGrid w:linePitch="360"/>
        </w:sectPr>
      </w:pPr>
    </w:p>
    <w:p w:rsidR="008B60C7" w:rsidRPr="001821FE" w:rsidRDefault="00C04360" w:rsidP="00892F8C">
      <w:pPr>
        <w:pStyle w:val="Heading3"/>
      </w:pPr>
      <w:bookmarkStart w:id="16" w:name="_Toc386465491"/>
      <w:r w:rsidRPr="001821FE">
        <w:t>1.4.2 Codes &amp; Standards Requirements Base Case and Measure Information</w:t>
      </w:r>
      <w:bookmarkEnd w:id="16"/>
    </w:p>
    <w:p w:rsidR="00C04360" w:rsidRDefault="00C04360" w:rsidP="00FF5E4E">
      <w:pPr>
        <w:rPr>
          <w:b/>
          <w:sz w:val="28"/>
          <w:szCs w:val="28"/>
        </w:rPr>
      </w:pPr>
    </w:p>
    <w:p w:rsidR="00C04360" w:rsidRDefault="00C04360" w:rsidP="00FF5E4E">
      <w:pPr>
        <w:rPr>
          <w:b/>
          <w:sz w:val="26"/>
          <w:szCs w:val="26"/>
        </w:rPr>
      </w:pPr>
      <w:r>
        <w:rPr>
          <w:b/>
          <w:sz w:val="26"/>
          <w:szCs w:val="26"/>
        </w:rPr>
        <w:t>Title 20:</w:t>
      </w:r>
    </w:p>
    <w:p w:rsidR="00C04360" w:rsidRDefault="00C04360" w:rsidP="00FF5E4E">
      <w:r>
        <w:t>This measure does not fall under Title 20 of the California Energy Regulations. Title 20, Section 1605.3 covers new appliances sold or offered for sale in California, but does not apply to vertical open refrigerated display cases.</w:t>
      </w:r>
      <w:r w:rsidR="00295A10">
        <w:rPr>
          <w:rStyle w:val="EndnoteReference"/>
        </w:rPr>
        <w:endnoteReference w:id="5"/>
      </w:r>
      <w:r>
        <w:t xml:space="preserve"> </w:t>
      </w:r>
    </w:p>
    <w:p w:rsidR="004F0CB3" w:rsidRDefault="004F0CB3" w:rsidP="00FF5E4E"/>
    <w:p w:rsidR="004F0CB3" w:rsidRDefault="004F0CB3" w:rsidP="00FF5E4E">
      <w:pPr>
        <w:rPr>
          <w:b/>
          <w:sz w:val="26"/>
          <w:szCs w:val="26"/>
        </w:rPr>
      </w:pPr>
      <w:r>
        <w:rPr>
          <w:b/>
          <w:sz w:val="26"/>
          <w:szCs w:val="26"/>
        </w:rPr>
        <w:t xml:space="preserve">Title 24: </w:t>
      </w:r>
    </w:p>
    <w:p w:rsidR="004F0CB3" w:rsidRDefault="00BB72AF" w:rsidP="00FF5E4E">
      <w:r w:rsidRPr="00D22EA4">
        <w:t>This measure does not fall under Title 2</w:t>
      </w:r>
      <w:r>
        <w:t>4</w:t>
      </w:r>
      <w:r w:rsidRPr="00D22EA4">
        <w:t xml:space="preserve"> of the California Energy Regulations.</w:t>
      </w:r>
      <w:r>
        <w:t xml:space="preserve"> Section 126 of the current standard (2008) applies to refrigeration systems in refrigerated warehouses but does not apply to display equipment found in retail food establishments. The proposed 2013 revisions to the standard includes a provision in section 126 for the control of refrigerated display case lighting but otherwise does not address this equipment class.</w:t>
      </w:r>
      <w:r w:rsidR="00E66E6B">
        <w:rPr>
          <w:rStyle w:val="EndnoteReference"/>
        </w:rPr>
        <w:endnoteReference w:id="6"/>
      </w:r>
    </w:p>
    <w:p w:rsidR="00AD31D1" w:rsidRDefault="00AD31D1" w:rsidP="00FF5E4E">
      <w:pPr>
        <w:rPr>
          <w:b/>
          <w:sz w:val="26"/>
          <w:szCs w:val="26"/>
        </w:rPr>
      </w:pPr>
    </w:p>
    <w:p w:rsidR="00DC0937" w:rsidRDefault="00545E9B" w:rsidP="00FF5E4E">
      <w:pPr>
        <w:rPr>
          <w:b/>
          <w:sz w:val="26"/>
          <w:szCs w:val="26"/>
        </w:rPr>
      </w:pPr>
      <w:r>
        <w:rPr>
          <w:b/>
          <w:sz w:val="26"/>
          <w:szCs w:val="26"/>
        </w:rPr>
        <w:t>Federal Standards:</w:t>
      </w:r>
    </w:p>
    <w:p w:rsidR="00783458" w:rsidRDefault="00783458" w:rsidP="00783458">
      <w:r>
        <w:t xml:space="preserve">Both the base case and measure equipment described in this </w:t>
      </w:r>
      <w:proofErr w:type="spellStart"/>
      <w:r>
        <w:t>workpaper</w:t>
      </w:r>
      <w:proofErr w:type="spellEnd"/>
      <w:r>
        <w:t xml:space="preserve"> </w:t>
      </w:r>
      <w:r w:rsidR="00D90821">
        <w:t>comply</w:t>
      </w:r>
      <w:r>
        <w:t xml:space="preserve"> with </w:t>
      </w:r>
      <w:r w:rsidR="00F42D33">
        <w:t xml:space="preserve">Federal Standard </w:t>
      </w:r>
      <w:r>
        <w:t xml:space="preserve">10CFR </w:t>
      </w:r>
      <w:r>
        <w:rPr>
          <w:rFonts w:ascii="Arial" w:hAnsi="Arial" w:cs="Arial"/>
        </w:rPr>
        <w:t>§</w:t>
      </w:r>
      <w:r w:rsidR="00F42D33">
        <w:t xml:space="preserve"> 431.66 (2012). </w:t>
      </w:r>
      <w:r w:rsidR="00CA21E6">
        <w:t xml:space="preserve">Any case that receives an incentive based on this </w:t>
      </w:r>
      <w:proofErr w:type="spellStart"/>
      <w:r w:rsidR="00CA21E6">
        <w:t>workpaper</w:t>
      </w:r>
      <w:proofErr w:type="spellEnd"/>
      <w:r w:rsidR="00CA21E6">
        <w:t xml:space="preserve"> should also comply with this standard. </w:t>
      </w:r>
      <w:r w:rsidR="00D3724A">
        <w:t>It</w:t>
      </w:r>
      <w:r>
        <w:t xml:space="preserve"> establishes a maximum daily energy consumption for the equipment class of 0.22 × TDA</w:t>
      </w:r>
      <w:r w:rsidR="00013258">
        <w:t xml:space="preserve"> -Total Display Area</w:t>
      </w:r>
      <w:r>
        <w:t xml:space="preserve"> (ft</w:t>
      </w:r>
      <w:r w:rsidRPr="00FD3E7F">
        <w:rPr>
          <w:vertAlign w:val="superscript"/>
        </w:rPr>
        <w:t>2</w:t>
      </w:r>
      <w:r>
        <w:t>) + 1.95 kWh/day for medium temperature display cases with doors and 0.56 + TDA (ft</w:t>
      </w:r>
      <w:r w:rsidRPr="00FD3E7F">
        <w:rPr>
          <w:vertAlign w:val="superscript"/>
        </w:rPr>
        <w:t>2</w:t>
      </w:r>
      <w:r>
        <w:t>) + 2.61 kWh/day for low temperature display cases with doors when tested in compliance with ARI Standard 1200-2006. For vertical open multi-deck cases, Federal Standards prescribe a maximum energy consumption of 0.82 × TDA (ft</w:t>
      </w:r>
      <w:r w:rsidRPr="00FD3E7F">
        <w:rPr>
          <w:vertAlign w:val="superscript"/>
        </w:rPr>
        <w:t>2</w:t>
      </w:r>
      <w:r>
        <w:t xml:space="preserve">) + </w:t>
      </w:r>
      <w:proofErr w:type="gramStart"/>
      <w:r>
        <w:t>4.07 kWh/day for medium temperature applications</w:t>
      </w:r>
      <w:proofErr w:type="gramEnd"/>
      <w:r>
        <w:t xml:space="preserve"> and 2.27 × TDA (ft</w:t>
      </w:r>
      <w:r w:rsidRPr="00FD3E7F">
        <w:rPr>
          <w:vertAlign w:val="superscript"/>
        </w:rPr>
        <w:t>2</w:t>
      </w:r>
      <w:r>
        <w:t>) + 6.85 kWh/day for low temperature applications. The standard does not prescribe requirements for specific case components (evaporator fan motors, case lighting, insulation, evaporator coil, air curtain).</w:t>
      </w:r>
      <w:r w:rsidR="00EE5E71">
        <w:rPr>
          <w:rStyle w:val="EndnoteReference"/>
        </w:rPr>
        <w:endnoteReference w:id="7"/>
      </w:r>
      <w:r>
        <w:t xml:space="preserve"> </w:t>
      </w:r>
    </w:p>
    <w:p w:rsidR="00D3724A" w:rsidRDefault="00D3724A" w:rsidP="00783458">
      <w:pPr>
        <w:rPr>
          <w:b/>
          <w:sz w:val="26"/>
          <w:szCs w:val="26"/>
        </w:rPr>
      </w:pPr>
    </w:p>
    <w:p w:rsidR="00F04F8E" w:rsidRPr="00D3724A" w:rsidRDefault="00D3724A" w:rsidP="00783458">
      <w:pPr>
        <w:rPr>
          <w:b/>
          <w:sz w:val="26"/>
          <w:szCs w:val="26"/>
        </w:rPr>
      </w:pPr>
      <w:r>
        <w:rPr>
          <w:b/>
          <w:sz w:val="26"/>
          <w:szCs w:val="26"/>
        </w:rPr>
        <w:t>N</w:t>
      </w:r>
      <w:r w:rsidR="003A57BF" w:rsidRPr="001821FE">
        <w:rPr>
          <w:b/>
          <w:sz w:val="26"/>
          <w:szCs w:val="26"/>
        </w:rPr>
        <w:t>et to Gross Value</w:t>
      </w:r>
      <w:r w:rsidR="003A57BF">
        <w:rPr>
          <w:b/>
        </w:rPr>
        <w:t>:</w:t>
      </w:r>
    </w:p>
    <w:p w:rsidR="003A57BF" w:rsidRDefault="003A57BF" w:rsidP="00783458">
      <w:pPr>
        <w:rPr>
          <w:b/>
        </w:rPr>
      </w:pPr>
    </w:p>
    <w:p w:rsidR="003A57BF" w:rsidRDefault="00CF45F8" w:rsidP="00783458">
      <w:r>
        <w:t xml:space="preserve">The NTG value was obtained from the “DEER2011_2012-05-16.xls” </w:t>
      </w:r>
      <w:r w:rsidR="00655F80">
        <w:t xml:space="preserve">(See Attachment C) </w:t>
      </w:r>
      <w:r>
        <w:t>on the DEER website as required by Version 4 of the California Public Utilities Commission (CPUC) Energ</w:t>
      </w:r>
      <w:r w:rsidR="008245EB">
        <w:t>y Efficiency Policy Manual</w:t>
      </w:r>
      <w:r>
        <w:t xml:space="preserve">. The relevant NTGR for this measure is shown in </w:t>
      </w:r>
      <w:r w:rsidR="00966760" w:rsidRPr="00966760">
        <w:t xml:space="preserve">Table </w:t>
      </w:r>
      <w:r w:rsidR="00966760">
        <w:t>2</w:t>
      </w:r>
      <w:r>
        <w:t xml:space="preserve"> below. </w:t>
      </w:r>
    </w:p>
    <w:p w:rsidR="008C006A" w:rsidRDefault="008C006A" w:rsidP="00783458"/>
    <w:p w:rsidR="00BC7B05" w:rsidRDefault="00966760" w:rsidP="00892F8C">
      <w:pPr>
        <w:pStyle w:val="Caption"/>
      </w:pPr>
      <w:bookmarkStart w:id="17" w:name="_Toc386632085"/>
      <w:r w:rsidRPr="00966760">
        <w:t>Table 2</w:t>
      </w:r>
      <w:r w:rsidR="00BC7B05" w:rsidRPr="00BC7B05">
        <w:t xml:space="preserve"> Net-to-Gro</w:t>
      </w:r>
      <w:r w:rsidR="00BC7B05" w:rsidRPr="00850F61">
        <w:rPr>
          <w:b w:val="0"/>
        </w:rPr>
        <w:t>s</w:t>
      </w:r>
      <w:r w:rsidR="00BC7B05" w:rsidRPr="00BC7B05">
        <w:t>s Ratio</w:t>
      </w:r>
      <w:bookmarkEnd w:id="17"/>
    </w:p>
    <w:p w:rsidR="00AD31D1" w:rsidRPr="00BC7B05" w:rsidRDefault="00AD31D1" w:rsidP="00BC7B05">
      <w:pPr>
        <w:jc w:val="center"/>
        <w:rPr>
          <w:b/>
        </w:rPr>
      </w:pPr>
    </w:p>
    <w:tbl>
      <w:tblPr>
        <w:tblStyle w:val="TableContemporary"/>
        <w:tblW w:w="10188" w:type="dxa"/>
        <w:tblLayout w:type="fixed"/>
        <w:tblLook w:val="04A0" w:firstRow="1" w:lastRow="0" w:firstColumn="1" w:lastColumn="0" w:noHBand="0" w:noVBand="1"/>
      </w:tblPr>
      <w:tblGrid>
        <w:gridCol w:w="1458"/>
        <w:gridCol w:w="3960"/>
        <w:gridCol w:w="1080"/>
        <w:gridCol w:w="1350"/>
        <w:gridCol w:w="1260"/>
        <w:gridCol w:w="1080"/>
      </w:tblGrid>
      <w:tr w:rsidR="00315E54" w:rsidTr="00D90821">
        <w:trPr>
          <w:cnfStyle w:val="100000000000" w:firstRow="1" w:lastRow="0" w:firstColumn="0" w:lastColumn="0" w:oddVBand="0" w:evenVBand="0" w:oddHBand="0" w:evenHBand="0" w:firstRowFirstColumn="0" w:firstRowLastColumn="0" w:lastRowFirstColumn="0" w:lastRowLastColumn="0"/>
        </w:trPr>
        <w:tc>
          <w:tcPr>
            <w:tcW w:w="1458" w:type="dxa"/>
          </w:tcPr>
          <w:p w:rsidR="00BC7B05" w:rsidRPr="000E5398" w:rsidRDefault="00BC7B05" w:rsidP="00612DA2">
            <w:pPr>
              <w:jc w:val="center"/>
            </w:pPr>
            <w:r w:rsidRPr="000E5398">
              <w:t>NTGR_ID*</w:t>
            </w:r>
          </w:p>
        </w:tc>
        <w:tc>
          <w:tcPr>
            <w:tcW w:w="3960" w:type="dxa"/>
          </w:tcPr>
          <w:p w:rsidR="00BC7B05" w:rsidRPr="000E5398" w:rsidRDefault="00BC7B05" w:rsidP="00612DA2">
            <w:pPr>
              <w:jc w:val="center"/>
            </w:pPr>
            <w:r w:rsidRPr="000E5398">
              <w:t>Description*</w:t>
            </w:r>
          </w:p>
        </w:tc>
        <w:tc>
          <w:tcPr>
            <w:tcW w:w="1080" w:type="dxa"/>
          </w:tcPr>
          <w:p w:rsidR="00BC7B05" w:rsidRPr="000E5398" w:rsidRDefault="00BC7B05" w:rsidP="00612DA2">
            <w:pPr>
              <w:jc w:val="center"/>
            </w:pPr>
            <w:r w:rsidRPr="000E5398">
              <w:t>Sector*</w:t>
            </w:r>
          </w:p>
        </w:tc>
        <w:tc>
          <w:tcPr>
            <w:tcW w:w="1350" w:type="dxa"/>
          </w:tcPr>
          <w:p w:rsidR="00BC7B05" w:rsidRPr="000E5398" w:rsidRDefault="00BC7B05" w:rsidP="00612DA2">
            <w:pPr>
              <w:jc w:val="center"/>
            </w:pPr>
            <w:proofErr w:type="spellStart"/>
            <w:r w:rsidRPr="000E5398">
              <w:t>BldgType</w:t>
            </w:r>
            <w:proofErr w:type="spellEnd"/>
            <w:r w:rsidRPr="000E5398">
              <w:t>*</w:t>
            </w:r>
          </w:p>
        </w:tc>
        <w:tc>
          <w:tcPr>
            <w:tcW w:w="1260" w:type="dxa"/>
          </w:tcPr>
          <w:p w:rsidR="00BC7B05" w:rsidRPr="000E5398" w:rsidRDefault="00BC7B05" w:rsidP="00612DA2">
            <w:pPr>
              <w:jc w:val="center"/>
            </w:pPr>
            <w:proofErr w:type="spellStart"/>
            <w:r w:rsidRPr="000E5398">
              <w:t>ProgDelivID</w:t>
            </w:r>
            <w:proofErr w:type="spellEnd"/>
          </w:p>
        </w:tc>
        <w:tc>
          <w:tcPr>
            <w:tcW w:w="1080" w:type="dxa"/>
          </w:tcPr>
          <w:p w:rsidR="00BC7B05" w:rsidRPr="000E5398" w:rsidRDefault="00BC7B05" w:rsidP="00612DA2">
            <w:pPr>
              <w:jc w:val="center"/>
            </w:pPr>
            <w:r w:rsidRPr="000E5398">
              <w:t>NTG*</w:t>
            </w:r>
          </w:p>
        </w:tc>
      </w:tr>
      <w:tr w:rsidR="00315E54" w:rsidTr="00D90821">
        <w:trPr>
          <w:cnfStyle w:val="000000100000" w:firstRow="0" w:lastRow="0" w:firstColumn="0" w:lastColumn="0" w:oddVBand="0" w:evenVBand="0" w:oddHBand="1" w:evenHBand="0" w:firstRowFirstColumn="0" w:firstRowLastColumn="0" w:lastRowFirstColumn="0" w:lastRowLastColumn="0"/>
        </w:trPr>
        <w:tc>
          <w:tcPr>
            <w:tcW w:w="1458" w:type="dxa"/>
          </w:tcPr>
          <w:p w:rsidR="00BC7B05" w:rsidRPr="000E5398" w:rsidRDefault="00BC7B05" w:rsidP="00612DA2">
            <w:pPr>
              <w:jc w:val="center"/>
            </w:pPr>
            <w:r w:rsidRPr="000E5398">
              <w:t>Com-Default&gt;2yr</w:t>
            </w:r>
          </w:p>
        </w:tc>
        <w:tc>
          <w:tcPr>
            <w:tcW w:w="3960" w:type="dxa"/>
          </w:tcPr>
          <w:p w:rsidR="00BC7B05" w:rsidRPr="000E5398" w:rsidRDefault="00BC7B05" w:rsidP="00612DA2">
            <w:pPr>
              <w:jc w:val="center"/>
            </w:pPr>
            <w:r w:rsidRPr="000E5398">
              <w:t>All other EEMs with no evaluated NTGR; existing EEM in programs with same delivery mechanism for more than 2 years</w:t>
            </w:r>
          </w:p>
        </w:tc>
        <w:tc>
          <w:tcPr>
            <w:tcW w:w="1080" w:type="dxa"/>
          </w:tcPr>
          <w:p w:rsidR="00BC7B05" w:rsidRPr="000E5398" w:rsidRDefault="00BC7B05" w:rsidP="00612DA2">
            <w:pPr>
              <w:jc w:val="center"/>
            </w:pPr>
            <w:r w:rsidRPr="000E5398">
              <w:t>Com</w:t>
            </w:r>
          </w:p>
        </w:tc>
        <w:tc>
          <w:tcPr>
            <w:tcW w:w="1350" w:type="dxa"/>
          </w:tcPr>
          <w:p w:rsidR="00BC7B05" w:rsidRPr="000E5398" w:rsidRDefault="00BC7B05" w:rsidP="00612DA2">
            <w:pPr>
              <w:jc w:val="center"/>
            </w:pPr>
            <w:r w:rsidRPr="000E5398">
              <w:t>Any</w:t>
            </w:r>
          </w:p>
        </w:tc>
        <w:tc>
          <w:tcPr>
            <w:tcW w:w="1260" w:type="dxa"/>
          </w:tcPr>
          <w:p w:rsidR="00BC7B05" w:rsidRPr="000E5398" w:rsidRDefault="00BC7B05" w:rsidP="00612DA2">
            <w:pPr>
              <w:jc w:val="center"/>
            </w:pPr>
            <w:r w:rsidRPr="000E5398">
              <w:t>All</w:t>
            </w:r>
          </w:p>
        </w:tc>
        <w:tc>
          <w:tcPr>
            <w:tcW w:w="1080" w:type="dxa"/>
          </w:tcPr>
          <w:p w:rsidR="00BC7B05" w:rsidRPr="000E5398" w:rsidRDefault="00BC7B05" w:rsidP="00612DA2">
            <w:pPr>
              <w:jc w:val="center"/>
            </w:pPr>
            <w:r w:rsidRPr="000E5398">
              <w:t>0.6</w:t>
            </w:r>
          </w:p>
        </w:tc>
      </w:tr>
    </w:tbl>
    <w:p w:rsidR="00243497" w:rsidRDefault="00D939A0" w:rsidP="00FF5E4E">
      <w:pPr>
        <w:rPr>
          <w:sz w:val="18"/>
          <w:szCs w:val="18"/>
        </w:rPr>
      </w:pPr>
      <w:r w:rsidRPr="00850F61">
        <w:rPr>
          <w:sz w:val="18"/>
          <w:szCs w:val="18"/>
        </w:rPr>
        <w:t>*Denotes that the column is taken from the DEER NTG Table.</w:t>
      </w:r>
    </w:p>
    <w:p w:rsidR="006D5F53" w:rsidRDefault="006D5F53" w:rsidP="00FF5E4E">
      <w:pPr>
        <w:rPr>
          <w:sz w:val="18"/>
          <w:szCs w:val="18"/>
        </w:rPr>
      </w:pPr>
    </w:p>
    <w:p w:rsidR="006D5F53" w:rsidRDefault="006D5F53" w:rsidP="00FF5E4E">
      <w:pPr>
        <w:rPr>
          <w:sz w:val="18"/>
          <w:szCs w:val="18"/>
        </w:rPr>
        <w:sectPr w:rsidR="006D5F53" w:rsidSect="00AA0833">
          <w:endnotePr>
            <w:numFmt w:val="decimal"/>
          </w:endnotePr>
          <w:pgSz w:w="12240" w:h="15840"/>
          <w:pgMar w:top="1440" w:right="1440" w:bottom="1557" w:left="1440" w:header="720" w:footer="720" w:gutter="0"/>
          <w:pgNumType w:start="4"/>
          <w:cols w:space="720"/>
          <w:docGrid w:linePitch="360"/>
        </w:sectPr>
      </w:pPr>
    </w:p>
    <w:p w:rsidR="006D5F53" w:rsidRPr="006D5F53" w:rsidRDefault="006D5F53" w:rsidP="00FF5E4E">
      <w:pPr>
        <w:rPr>
          <w:sz w:val="18"/>
          <w:szCs w:val="18"/>
        </w:rPr>
      </w:pPr>
    </w:p>
    <w:p w:rsidR="000F25A3" w:rsidRPr="001821FE" w:rsidRDefault="000F25A3" w:rsidP="00892F8C">
      <w:pPr>
        <w:pStyle w:val="Heading3"/>
      </w:pPr>
      <w:bookmarkStart w:id="18" w:name="_Toc386465492"/>
      <w:r w:rsidRPr="001821FE">
        <w:t>1.4.3 EM&amp;V, Market Potential, and Other Studies – Base Case and Measure Case Information</w:t>
      </w:r>
      <w:bookmarkEnd w:id="18"/>
    </w:p>
    <w:p w:rsidR="000F25A3" w:rsidRDefault="000F25A3" w:rsidP="00FF5E4E"/>
    <w:p w:rsidR="00C40BE3" w:rsidRDefault="00C40BE3" w:rsidP="00C40BE3">
      <w:r>
        <w:t xml:space="preserve">Numerous studies have been conducted on the energy savings associated with the measures described in this paper. </w:t>
      </w:r>
      <w:r w:rsidRPr="00EC5C3F">
        <w:t>One commonly cited study conducted by researchers at Southern California Edison’s Research and Thermal Test Center found that after retrofitting doors to an open display case the cooling load attributable to infiltration was reduced by 68%. This conclusion was based on lab testing conducted with static ambient temperature and humidity levels.</w:t>
      </w:r>
      <w:r w:rsidR="001A60ED" w:rsidRPr="00EC5C3F">
        <w:rPr>
          <w:rStyle w:val="EndnoteReference"/>
        </w:rPr>
        <w:endnoteReference w:id="8"/>
      </w:r>
      <w:r w:rsidRPr="00170ECB">
        <w:t xml:space="preserve"> </w:t>
      </w:r>
    </w:p>
    <w:p w:rsidR="00C40BE3" w:rsidRPr="00A02F0A" w:rsidRDefault="00C40BE3" w:rsidP="00C40BE3">
      <w:pPr>
        <w:rPr>
          <w:rFonts w:ascii="Arial" w:hAnsi="Arial" w:cs="Arial"/>
          <w:sz w:val="20"/>
          <w:szCs w:val="20"/>
        </w:rPr>
      </w:pPr>
    </w:p>
    <w:p w:rsidR="00C40BE3" w:rsidRDefault="00C40BE3" w:rsidP="00C40BE3">
      <w:r w:rsidRPr="00FA229D">
        <w:t>Another report based on lab testing concluded that the cooling load of open cases decreased 66% versus cases without doors or night covers and 53% when compared to an open case with night covers in place at night. The same report discussed the results of a field trial that measured savings of 26% for the store’s entire refrigeration system when several medium and low temperature cases were retrofitted with doors. Though this study focuses on a door retrofit the principles of load reduction are the same.</w:t>
      </w:r>
      <w:r w:rsidR="00FA229D">
        <w:rPr>
          <w:rStyle w:val="EndnoteReference"/>
        </w:rPr>
        <w:endnoteReference w:id="9"/>
      </w:r>
      <w:r w:rsidRPr="007632C2">
        <w:t xml:space="preserve"> Case replacements as described in this </w:t>
      </w:r>
      <w:proofErr w:type="spellStart"/>
      <w:r w:rsidRPr="007632C2">
        <w:t>workpaper</w:t>
      </w:r>
      <w:proofErr w:type="spellEnd"/>
      <w:r w:rsidRPr="007632C2">
        <w:t xml:space="preserve"> also include component upgrades for lighting and motors.</w:t>
      </w:r>
    </w:p>
    <w:p w:rsidR="00C40BE3" w:rsidRDefault="00C40BE3" w:rsidP="00C40BE3"/>
    <w:p w:rsidR="00C40BE3" w:rsidRDefault="00C40BE3" w:rsidP="00C40BE3">
      <w:r w:rsidRPr="00293F17">
        <w:t>The American Society of Heating, Refrigerating, and Air-Conditioning Engineers (ASHRAE) paid for a research project (RP-1402) to compare energy and sales results of open multi-deck vs. reach-in case for medium temperature applications</w:t>
      </w:r>
      <w:bookmarkStart w:id="19" w:name="_Ref295735180"/>
      <w:r w:rsidRPr="00293F17">
        <w:t>.</w:t>
      </w:r>
      <w:bookmarkEnd w:id="19"/>
      <w:r w:rsidRPr="00293F17">
        <w:t xml:space="preserve"> The display cases tested held alcoholic beverages and dairy and were located in 2 stores in Kansas. The report summary showed an 18% reduction in energy, using calculated compressor savings and measured refrigeration load.</w:t>
      </w:r>
      <w:r w:rsidR="00293F17">
        <w:rPr>
          <w:rStyle w:val="EndnoteReference"/>
        </w:rPr>
        <w:endnoteReference w:id="10"/>
      </w:r>
      <w:r w:rsidRPr="004A5EC4">
        <w:t xml:space="preserve"> </w:t>
      </w:r>
    </w:p>
    <w:p w:rsidR="00C40BE3" w:rsidRDefault="00C40BE3" w:rsidP="00C40BE3">
      <w:pPr>
        <w:rPr>
          <w:rFonts w:ascii="Arial" w:hAnsi="Arial" w:cs="Arial"/>
          <w:b/>
          <w:i/>
        </w:rPr>
      </w:pPr>
    </w:p>
    <w:p w:rsidR="00C40BE3" w:rsidRDefault="00C40BE3" w:rsidP="00C40BE3">
      <w:r w:rsidRPr="00FD7655">
        <w:t>The State of California Air Resources Board has estimated that adding doors to all viable open vertical refrigerated display cases in the state would reduce energy consumption by more than 1,000 GWH, or 5% of the total energy consumption attributed to the grocery sector.</w:t>
      </w:r>
      <w:r w:rsidR="00FD7655">
        <w:rPr>
          <w:rStyle w:val="EndnoteReference"/>
        </w:rPr>
        <w:endnoteReference w:id="11"/>
      </w:r>
    </w:p>
    <w:p w:rsidR="00183F2A" w:rsidRDefault="00183F2A" w:rsidP="00C40BE3"/>
    <w:p w:rsidR="006049B6" w:rsidRDefault="006049B6" w:rsidP="00C40BE3"/>
    <w:p w:rsidR="00183F2A" w:rsidRPr="001821FE" w:rsidRDefault="00183F2A" w:rsidP="00183F2A">
      <w:pPr>
        <w:pStyle w:val="Heading3"/>
      </w:pPr>
      <w:bookmarkStart w:id="20" w:name="_Toc386465493"/>
      <w:r>
        <w:t>1.4.4</w:t>
      </w:r>
      <w:r w:rsidRPr="001821FE">
        <w:t xml:space="preserve"> </w:t>
      </w:r>
      <w:r>
        <w:t>Assumptions and Calculations from other Sources – Base Case and Measure Case</w:t>
      </w:r>
      <w:bookmarkEnd w:id="20"/>
      <w:r>
        <w:tab/>
      </w:r>
    </w:p>
    <w:p w:rsidR="00183F2A" w:rsidRDefault="00183F2A" w:rsidP="00183F2A"/>
    <w:p w:rsidR="00183F2A" w:rsidRPr="00FB25F9" w:rsidRDefault="00DC4BCF" w:rsidP="00C40BE3">
      <w:r>
        <w:t>The display case keywor</w:t>
      </w:r>
      <w:r w:rsidR="00A1171E">
        <w:t>d assumptions in the models are derived from manufacturer specification. A summary of the manufacturers specifications can be found in Attachment A and copies of those specifications can be found in Attachment H. Section 2 provides further details</w:t>
      </w:r>
    </w:p>
    <w:p w:rsidR="00E44EB3" w:rsidRDefault="00E44EB3" w:rsidP="00D07335">
      <w:pPr>
        <w:rPr>
          <w:b/>
          <w:sz w:val="26"/>
          <w:szCs w:val="26"/>
        </w:rPr>
      </w:pPr>
    </w:p>
    <w:p w:rsidR="006049B6" w:rsidRDefault="006049B6" w:rsidP="00D07335">
      <w:pPr>
        <w:rPr>
          <w:b/>
          <w:sz w:val="26"/>
          <w:szCs w:val="26"/>
        </w:rPr>
      </w:pPr>
    </w:p>
    <w:p w:rsidR="00D848AE" w:rsidRPr="001821FE" w:rsidRDefault="00D848AE" w:rsidP="00D848AE">
      <w:pPr>
        <w:pStyle w:val="Heading3"/>
      </w:pPr>
      <w:bookmarkStart w:id="21" w:name="_Toc386465494"/>
      <w:r>
        <w:t>1.4.5</w:t>
      </w:r>
      <w:r w:rsidRPr="001821FE">
        <w:t xml:space="preserve"> Time-of-Use Adjustment Factor</w:t>
      </w:r>
      <w:bookmarkEnd w:id="21"/>
    </w:p>
    <w:p w:rsidR="00D848AE" w:rsidRDefault="00D848AE" w:rsidP="00D848AE"/>
    <w:p w:rsidR="00D848AE" w:rsidRDefault="00D848AE" w:rsidP="00D848AE">
      <w:r>
        <w:t>As required by CPUC decision 06-06-063 dated June 29, 2006 to apply time-of-use (TOU) adjustment factors on residential A/C and commercial A/C (packaged and split-system direct-ex</w:t>
      </w:r>
      <w:r w:rsidR="00013258">
        <w:t>pansion cooling) measures only. T</w:t>
      </w:r>
      <w:r>
        <w:t>he TOU adjustment factor is 0.</w:t>
      </w:r>
    </w:p>
    <w:p w:rsidR="00183F2A" w:rsidRDefault="00183F2A" w:rsidP="00D848AE"/>
    <w:p w:rsidR="00183F2A" w:rsidRDefault="00183F2A" w:rsidP="00D848AE"/>
    <w:p w:rsidR="00013258" w:rsidRDefault="00013258" w:rsidP="00183F2A">
      <w:pPr>
        <w:pStyle w:val="Heading3"/>
        <w:sectPr w:rsidR="00013258" w:rsidSect="006D5F53">
          <w:endnotePr>
            <w:numFmt w:val="decimal"/>
          </w:endnotePr>
          <w:type w:val="continuous"/>
          <w:pgSz w:w="12240" w:h="15840"/>
          <w:pgMar w:top="1440" w:right="1440" w:bottom="1557" w:left="1440" w:header="720" w:footer="720" w:gutter="0"/>
          <w:cols w:space="720"/>
          <w:docGrid w:linePitch="360"/>
        </w:sectPr>
      </w:pPr>
      <w:bookmarkStart w:id="22" w:name="_Toc386465495"/>
    </w:p>
    <w:p w:rsidR="00183F2A" w:rsidRPr="001821FE" w:rsidRDefault="00183F2A" w:rsidP="00183F2A">
      <w:pPr>
        <w:pStyle w:val="Heading3"/>
      </w:pPr>
      <w:r w:rsidRPr="001821FE">
        <w:t>1.4.</w:t>
      </w:r>
      <w:r>
        <w:t>6</w:t>
      </w:r>
      <w:r w:rsidRPr="001821FE">
        <w:t xml:space="preserve"> Measure Effective Useful Life</w:t>
      </w:r>
      <w:bookmarkEnd w:id="22"/>
    </w:p>
    <w:p w:rsidR="00183F2A" w:rsidRDefault="00183F2A" w:rsidP="00183F2A">
      <w:pPr>
        <w:rPr>
          <w:b/>
          <w:sz w:val="26"/>
          <w:szCs w:val="26"/>
        </w:rPr>
      </w:pPr>
    </w:p>
    <w:p w:rsidR="00183F2A" w:rsidRPr="009D1F46" w:rsidRDefault="00183F2A" w:rsidP="00183F2A">
      <w:r w:rsidRPr="009D1F46">
        <w:t>DEER11 documentation provides EUL</w:t>
      </w:r>
      <w:r w:rsidR="00013258">
        <w:t xml:space="preserve"> (Estimated Useful Life)</w:t>
      </w:r>
      <w:r w:rsidRPr="009D1F46">
        <w:t xml:space="preserve"> and RUL</w:t>
      </w:r>
      <w:r w:rsidR="00013258">
        <w:t xml:space="preserve"> (Remaining Useful Life)</w:t>
      </w:r>
      <w:r w:rsidRPr="009D1F46">
        <w:t xml:space="preserve"> information to be used for the 13-14 program cycle on www.deeresources.com.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w:t>
      </w:r>
      <w:r>
        <w:t>s</w:t>
      </w:r>
      <w:r w:rsidRPr="009D1F46">
        <w:t xml:space="preserve"> with no applicable code that affects the energy savings, the RUL is not applicable to either the first or second baseline period.</w:t>
      </w:r>
    </w:p>
    <w:p w:rsidR="00183F2A" w:rsidRPr="009D1F46" w:rsidRDefault="00183F2A" w:rsidP="00183F2A"/>
    <w:p w:rsidR="00183F2A" w:rsidRPr="009D1F46" w:rsidRDefault="00183F2A" w:rsidP="00183F2A">
      <w:r w:rsidRPr="009D1F46">
        <w:t>To obtain the EUL value the DEER11 documentation, EUL_Summary_10-1-08.x</w:t>
      </w:r>
      <w:r>
        <w:t xml:space="preserve">ls, was consulted. </w:t>
      </w:r>
      <w:r w:rsidRPr="00682D3D">
        <w:t>Table 3</w:t>
      </w:r>
      <w:r w:rsidRPr="009D1F46">
        <w:t xml:space="preserve"> below identifies the value/methodology used for the measures in this work paper.</w:t>
      </w:r>
    </w:p>
    <w:p w:rsidR="00183F2A" w:rsidRDefault="00183F2A" w:rsidP="00183F2A"/>
    <w:p w:rsidR="00183F2A" w:rsidRDefault="00183F2A" w:rsidP="00183F2A">
      <w:pPr>
        <w:pStyle w:val="Caption"/>
      </w:pPr>
      <w:bookmarkStart w:id="23" w:name="_Toc386632086"/>
      <w:r w:rsidRPr="00682D3D">
        <w:t>Table 3</w:t>
      </w:r>
      <w:r w:rsidRPr="005D748B">
        <w:t xml:space="preserve"> DEER08 EUL Value/Methodology</w:t>
      </w:r>
      <w:bookmarkEnd w:id="23"/>
    </w:p>
    <w:p w:rsidR="00183F2A" w:rsidRPr="005D748B" w:rsidRDefault="00183F2A" w:rsidP="00183F2A">
      <w:pPr>
        <w:jc w:val="center"/>
        <w:rPr>
          <w:b/>
        </w:rPr>
      </w:pPr>
    </w:p>
    <w:tbl>
      <w:tblPr>
        <w:tblStyle w:val="TableContemporary"/>
        <w:tblW w:w="0" w:type="auto"/>
        <w:tblLook w:val="04A0" w:firstRow="1" w:lastRow="0" w:firstColumn="1" w:lastColumn="0" w:noHBand="0" w:noVBand="1"/>
      </w:tblPr>
      <w:tblGrid>
        <w:gridCol w:w="1915"/>
        <w:gridCol w:w="1915"/>
        <w:gridCol w:w="1915"/>
        <w:gridCol w:w="1915"/>
        <w:gridCol w:w="1916"/>
      </w:tblGrid>
      <w:tr w:rsidR="00183F2A" w:rsidTr="00DC4BCF">
        <w:trPr>
          <w:cnfStyle w:val="100000000000" w:firstRow="1" w:lastRow="0" w:firstColumn="0" w:lastColumn="0" w:oddVBand="0" w:evenVBand="0" w:oddHBand="0" w:evenHBand="0" w:firstRowFirstColumn="0" w:firstRowLastColumn="0" w:lastRowFirstColumn="0" w:lastRowLastColumn="0"/>
        </w:trPr>
        <w:tc>
          <w:tcPr>
            <w:tcW w:w="1915" w:type="dxa"/>
            <w:vAlign w:val="center"/>
          </w:tcPr>
          <w:p w:rsidR="00183F2A" w:rsidRPr="00C41D46" w:rsidRDefault="00183F2A" w:rsidP="00DC4BCF">
            <w:pPr>
              <w:jc w:val="center"/>
              <w:rPr>
                <w:sz w:val="20"/>
                <w:szCs w:val="20"/>
              </w:rPr>
            </w:pPr>
            <w:r w:rsidRPr="00C41D46">
              <w:rPr>
                <w:sz w:val="20"/>
                <w:szCs w:val="20"/>
              </w:rPr>
              <w:t>Market</w:t>
            </w:r>
          </w:p>
        </w:tc>
        <w:tc>
          <w:tcPr>
            <w:tcW w:w="1915" w:type="dxa"/>
            <w:vAlign w:val="center"/>
          </w:tcPr>
          <w:p w:rsidR="00183F2A" w:rsidRPr="00C41D46" w:rsidRDefault="00183F2A" w:rsidP="00DC4BCF">
            <w:pPr>
              <w:jc w:val="center"/>
              <w:rPr>
                <w:sz w:val="20"/>
                <w:szCs w:val="20"/>
              </w:rPr>
            </w:pPr>
            <w:proofErr w:type="spellStart"/>
            <w:r w:rsidRPr="00C41D46">
              <w:rPr>
                <w:sz w:val="20"/>
                <w:szCs w:val="20"/>
              </w:rPr>
              <w:t>Enduse</w:t>
            </w:r>
            <w:proofErr w:type="spellEnd"/>
          </w:p>
        </w:tc>
        <w:tc>
          <w:tcPr>
            <w:tcW w:w="1915" w:type="dxa"/>
            <w:vAlign w:val="center"/>
          </w:tcPr>
          <w:p w:rsidR="00183F2A" w:rsidRPr="00C41D46" w:rsidRDefault="00183F2A" w:rsidP="00DC4BCF">
            <w:pPr>
              <w:jc w:val="center"/>
              <w:rPr>
                <w:sz w:val="20"/>
                <w:szCs w:val="20"/>
              </w:rPr>
            </w:pPr>
            <w:r w:rsidRPr="00C41D46">
              <w:rPr>
                <w:sz w:val="20"/>
                <w:szCs w:val="20"/>
              </w:rPr>
              <w:t>Measure</w:t>
            </w:r>
          </w:p>
        </w:tc>
        <w:tc>
          <w:tcPr>
            <w:tcW w:w="1915" w:type="dxa"/>
            <w:vAlign w:val="center"/>
          </w:tcPr>
          <w:p w:rsidR="00183F2A" w:rsidRPr="00C41D46" w:rsidRDefault="00183F2A" w:rsidP="00DC4BCF">
            <w:pPr>
              <w:jc w:val="center"/>
              <w:rPr>
                <w:sz w:val="20"/>
                <w:szCs w:val="20"/>
              </w:rPr>
            </w:pPr>
            <w:r w:rsidRPr="00C41D46">
              <w:rPr>
                <w:sz w:val="20"/>
                <w:szCs w:val="20"/>
              </w:rPr>
              <w:t>EUL (Years)</w:t>
            </w:r>
          </w:p>
        </w:tc>
        <w:tc>
          <w:tcPr>
            <w:tcW w:w="1916" w:type="dxa"/>
            <w:vAlign w:val="center"/>
          </w:tcPr>
          <w:p w:rsidR="00183F2A" w:rsidRPr="00C41D46" w:rsidRDefault="00183F2A" w:rsidP="00DC4BCF">
            <w:pPr>
              <w:jc w:val="center"/>
              <w:rPr>
                <w:sz w:val="20"/>
                <w:szCs w:val="20"/>
              </w:rPr>
            </w:pPr>
            <w:r w:rsidRPr="00C41D46">
              <w:rPr>
                <w:sz w:val="20"/>
                <w:szCs w:val="20"/>
              </w:rPr>
              <w:t>RUL (Years)</w:t>
            </w:r>
          </w:p>
        </w:tc>
      </w:tr>
      <w:tr w:rsidR="00183F2A" w:rsidTr="00DC4BCF">
        <w:trPr>
          <w:cnfStyle w:val="000000100000" w:firstRow="0" w:lastRow="0" w:firstColumn="0" w:lastColumn="0" w:oddVBand="0" w:evenVBand="0" w:oddHBand="1" w:evenHBand="0" w:firstRowFirstColumn="0" w:firstRowLastColumn="0" w:lastRowFirstColumn="0" w:lastRowLastColumn="0"/>
        </w:trPr>
        <w:tc>
          <w:tcPr>
            <w:tcW w:w="1915" w:type="dxa"/>
            <w:vAlign w:val="center"/>
          </w:tcPr>
          <w:p w:rsidR="00183F2A" w:rsidRPr="000E5398" w:rsidRDefault="00183F2A" w:rsidP="00DC4BCF">
            <w:pPr>
              <w:jc w:val="center"/>
            </w:pPr>
            <w:r w:rsidRPr="000E5398">
              <w:t>Non-Residential</w:t>
            </w:r>
          </w:p>
        </w:tc>
        <w:tc>
          <w:tcPr>
            <w:tcW w:w="1915" w:type="dxa"/>
            <w:vAlign w:val="center"/>
          </w:tcPr>
          <w:p w:rsidR="00183F2A" w:rsidRPr="000E5398" w:rsidRDefault="00183F2A" w:rsidP="00DC4BCF">
            <w:pPr>
              <w:jc w:val="center"/>
            </w:pPr>
            <w:r w:rsidRPr="000E5398">
              <w:t>Refrigeration</w:t>
            </w:r>
          </w:p>
        </w:tc>
        <w:tc>
          <w:tcPr>
            <w:tcW w:w="1915" w:type="dxa"/>
            <w:vAlign w:val="center"/>
          </w:tcPr>
          <w:p w:rsidR="00183F2A" w:rsidRPr="000E5398" w:rsidRDefault="00183F2A" w:rsidP="00DC4BCF">
            <w:pPr>
              <w:jc w:val="center"/>
            </w:pPr>
            <w:r w:rsidRPr="000A5085">
              <w:t>Zero Heat Reach-in Glass Doors</w:t>
            </w:r>
          </w:p>
        </w:tc>
        <w:tc>
          <w:tcPr>
            <w:tcW w:w="1915" w:type="dxa"/>
            <w:vAlign w:val="center"/>
          </w:tcPr>
          <w:p w:rsidR="00183F2A" w:rsidRPr="000E5398" w:rsidRDefault="00183F2A" w:rsidP="00DC4BCF">
            <w:pPr>
              <w:jc w:val="center"/>
            </w:pPr>
            <w:r w:rsidRPr="000E5398">
              <w:t>12</w:t>
            </w:r>
          </w:p>
        </w:tc>
        <w:tc>
          <w:tcPr>
            <w:tcW w:w="1916" w:type="dxa"/>
            <w:vAlign w:val="center"/>
          </w:tcPr>
          <w:p w:rsidR="00183F2A" w:rsidRPr="000E5398" w:rsidRDefault="00183F2A" w:rsidP="00DC4BCF">
            <w:pPr>
              <w:jc w:val="center"/>
            </w:pPr>
            <w:r w:rsidRPr="000E5398">
              <w:t>N/A</w:t>
            </w:r>
          </w:p>
        </w:tc>
      </w:tr>
    </w:tbl>
    <w:p w:rsidR="00183F2A" w:rsidRDefault="00183F2A" w:rsidP="00D848AE"/>
    <w:p w:rsidR="00054022" w:rsidRDefault="00054022" w:rsidP="00D07335"/>
    <w:p w:rsidR="006870A5" w:rsidRDefault="00E16609" w:rsidP="00553927">
      <w:pPr>
        <w:pStyle w:val="Heading1"/>
      </w:pPr>
      <w:bookmarkStart w:id="24" w:name="_Toc214003090"/>
      <w:bookmarkStart w:id="25" w:name="_Toc386465496"/>
      <w:proofErr w:type="gramStart"/>
      <w:r w:rsidRPr="00E95FA2">
        <w:t>Section 2.</w:t>
      </w:r>
      <w:proofErr w:type="gramEnd"/>
      <w:r w:rsidRPr="00E95FA2">
        <w:t xml:space="preserve"> Energy Savings &amp; Demand Reduction Calculations</w:t>
      </w:r>
      <w:bookmarkEnd w:id="24"/>
      <w:bookmarkEnd w:id="25"/>
    </w:p>
    <w:p w:rsidR="009133FD" w:rsidRPr="00591A33" w:rsidRDefault="00591A33" w:rsidP="00591A33">
      <w:pPr>
        <w:pStyle w:val="Caption"/>
      </w:pPr>
      <w:bookmarkStart w:id="26" w:name="_Toc386632087"/>
      <w:r w:rsidRPr="00591A33">
        <w:t>Table 4 Baseline by Measure Application Type</w:t>
      </w:r>
      <w:bookmarkEnd w:id="26"/>
    </w:p>
    <w:p w:rsidR="00591A33" w:rsidRPr="00591A33" w:rsidRDefault="00591A33" w:rsidP="00591A33"/>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133FD" w:rsidRPr="001E4C31" w:rsidTr="009133FD">
        <w:trPr>
          <w:trHeight w:val="927"/>
        </w:trPr>
        <w:tc>
          <w:tcPr>
            <w:tcW w:w="2808" w:type="dxa"/>
            <w:shd w:val="clear" w:color="auto" w:fill="262626"/>
            <w:vAlign w:val="bottom"/>
          </w:tcPr>
          <w:p w:rsidR="009133FD" w:rsidRPr="001E4C31" w:rsidRDefault="009133FD" w:rsidP="00591A33">
            <w:pPr>
              <w:rPr>
                <w:rStyle w:val="Strong"/>
                <w:b w:val="0"/>
                <w:bCs w:val="0"/>
                <w:i/>
                <w:color w:val="F2F2F2"/>
              </w:rPr>
            </w:pPr>
            <w:bookmarkStart w:id="27" w:name="_Toc324340490"/>
            <w:bookmarkStart w:id="28" w:name="_Toc383441995"/>
            <w:r>
              <w:rPr>
                <w:rStyle w:val="Strong"/>
                <w:color w:val="F2F2F2"/>
              </w:rPr>
              <w:t xml:space="preserve">Measure Application </w:t>
            </w:r>
            <w:r w:rsidRPr="001E4C31">
              <w:rPr>
                <w:rStyle w:val="Strong"/>
                <w:color w:val="F2F2F2"/>
              </w:rPr>
              <w:t>Type</w:t>
            </w:r>
            <w:bookmarkEnd w:id="27"/>
            <w:bookmarkEnd w:id="28"/>
          </w:p>
        </w:tc>
        <w:tc>
          <w:tcPr>
            <w:tcW w:w="1710" w:type="dxa"/>
            <w:shd w:val="clear" w:color="auto" w:fill="262626"/>
            <w:vAlign w:val="bottom"/>
          </w:tcPr>
          <w:p w:rsidR="009133FD" w:rsidRPr="001E4C31" w:rsidRDefault="009133FD" w:rsidP="00591A33">
            <w:pPr>
              <w:rPr>
                <w:rStyle w:val="Strong"/>
                <w:b w:val="0"/>
                <w:bCs w:val="0"/>
                <w:i/>
                <w:color w:val="F2F2F2"/>
              </w:rPr>
            </w:pPr>
            <w:bookmarkStart w:id="29" w:name="_Toc324340491"/>
            <w:bookmarkStart w:id="30" w:name="_Toc383441996"/>
            <w:r w:rsidRPr="001E4C31">
              <w:rPr>
                <w:rStyle w:val="Strong"/>
                <w:color w:val="F2F2F2"/>
              </w:rPr>
              <w:t>Measure Life Basis</w:t>
            </w:r>
            <w:bookmarkEnd w:id="29"/>
            <w:bookmarkEnd w:id="30"/>
          </w:p>
        </w:tc>
        <w:tc>
          <w:tcPr>
            <w:tcW w:w="2790" w:type="dxa"/>
            <w:shd w:val="clear" w:color="auto" w:fill="262626"/>
            <w:vAlign w:val="bottom"/>
          </w:tcPr>
          <w:p w:rsidR="009133FD" w:rsidRPr="001E4C31" w:rsidRDefault="009133FD" w:rsidP="00591A33">
            <w:pPr>
              <w:rPr>
                <w:rStyle w:val="Strong"/>
                <w:b w:val="0"/>
                <w:bCs w:val="0"/>
                <w:i/>
                <w:color w:val="F2F2F2"/>
              </w:rPr>
            </w:pPr>
            <w:bookmarkStart w:id="31" w:name="_Toc324340492"/>
            <w:bookmarkStart w:id="32" w:name="_Toc383441997"/>
            <w:r w:rsidRPr="001E4C31">
              <w:rPr>
                <w:rStyle w:val="Strong"/>
                <w:color w:val="F2F2F2"/>
              </w:rPr>
              <w:t>First Baseline Period: Energy Savings Baseline</w:t>
            </w:r>
            <w:bookmarkEnd w:id="31"/>
            <w:bookmarkEnd w:id="32"/>
          </w:p>
        </w:tc>
        <w:tc>
          <w:tcPr>
            <w:tcW w:w="2268" w:type="dxa"/>
            <w:shd w:val="clear" w:color="auto" w:fill="262626"/>
            <w:vAlign w:val="bottom"/>
          </w:tcPr>
          <w:p w:rsidR="009133FD" w:rsidRPr="001E4C31" w:rsidRDefault="009133FD" w:rsidP="00591A33">
            <w:pPr>
              <w:rPr>
                <w:rStyle w:val="Strong"/>
                <w:b w:val="0"/>
                <w:bCs w:val="0"/>
                <w:i/>
                <w:color w:val="F2F2F2"/>
              </w:rPr>
            </w:pPr>
            <w:bookmarkStart w:id="33" w:name="_Toc324340493"/>
            <w:bookmarkStart w:id="34" w:name="_Toc383441998"/>
            <w:r w:rsidRPr="001E4C31">
              <w:rPr>
                <w:rStyle w:val="Strong"/>
                <w:color w:val="F2F2F2"/>
              </w:rPr>
              <w:t>Second Baseline Period: Energy Savings Baseline</w:t>
            </w:r>
            <w:bookmarkEnd w:id="33"/>
            <w:bookmarkEnd w:id="34"/>
          </w:p>
        </w:tc>
      </w:tr>
      <w:tr w:rsidR="009133FD" w:rsidRPr="00C41E61" w:rsidTr="009133FD">
        <w:tc>
          <w:tcPr>
            <w:tcW w:w="2808" w:type="dxa"/>
            <w:shd w:val="pct5" w:color="000000" w:fill="FFFFFF"/>
            <w:vAlign w:val="bottom"/>
          </w:tcPr>
          <w:p w:rsidR="009133FD" w:rsidRPr="001E4C31" w:rsidRDefault="009133FD" w:rsidP="009133FD">
            <w:pPr>
              <w:spacing w:before="120" w:after="120"/>
              <w:jc w:val="center"/>
              <w:rPr>
                <w:rStyle w:val="Strong"/>
                <w:b w:val="0"/>
              </w:rPr>
            </w:pPr>
            <w:bookmarkStart w:id="35" w:name="_Toc324318349"/>
            <w:r>
              <w:rPr>
                <w:rStyle w:val="Strong"/>
                <w:i/>
              </w:rPr>
              <w:t>ER</w:t>
            </w:r>
            <w:r w:rsidRPr="001E4C31">
              <w:rPr>
                <w:rStyle w:val="Strong"/>
              </w:rPr>
              <w:t xml:space="preserve"> (</w:t>
            </w:r>
            <w:r>
              <w:rPr>
                <w:rStyle w:val="Strong"/>
              </w:rPr>
              <w:t>early retirement</w:t>
            </w:r>
            <w:r w:rsidRPr="001E4C31">
              <w:rPr>
                <w:rStyle w:val="Strong"/>
              </w:rPr>
              <w:t>)</w:t>
            </w:r>
            <w:bookmarkEnd w:id="35"/>
          </w:p>
        </w:tc>
        <w:tc>
          <w:tcPr>
            <w:tcW w:w="1710" w:type="dxa"/>
            <w:shd w:val="pct5" w:color="000000" w:fill="FFFFFF"/>
            <w:vAlign w:val="bottom"/>
          </w:tcPr>
          <w:p w:rsidR="009133FD" w:rsidRPr="001E4C31" w:rsidRDefault="009133FD" w:rsidP="009133FD">
            <w:pPr>
              <w:spacing w:before="120" w:after="120"/>
              <w:jc w:val="center"/>
              <w:rPr>
                <w:rStyle w:val="Strong"/>
                <w:b w:val="0"/>
              </w:rPr>
            </w:pPr>
            <w:bookmarkStart w:id="36" w:name="_Toc324318350"/>
            <w:r w:rsidRPr="001E4C31">
              <w:rPr>
                <w:rStyle w:val="Strong"/>
              </w:rPr>
              <w:t>EUL</w:t>
            </w:r>
            <w:bookmarkEnd w:id="36"/>
          </w:p>
        </w:tc>
        <w:tc>
          <w:tcPr>
            <w:tcW w:w="2790" w:type="dxa"/>
            <w:shd w:val="pct5" w:color="000000" w:fill="FFFFFF"/>
            <w:vAlign w:val="bottom"/>
          </w:tcPr>
          <w:p w:rsidR="009133FD" w:rsidRPr="001E4C31" w:rsidRDefault="009133FD" w:rsidP="009133FD">
            <w:pPr>
              <w:spacing w:before="120" w:after="120"/>
              <w:jc w:val="center"/>
              <w:rPr>
                <w:sz w:val="20"/>
                <w:szCs w:val="20"/>
              </w:rPr>
            </w:pPr>
            <w:r>
              <w:rPr>
                <w:sz w:val="20"/>
                <w:szCs w:val="20"/>
              </w:rPr>
              <w:t>Customer Average Baseline</w:t>
            </w:r>
          </w:p>
        </w:tc>
        <w:tc>
          <w:tcPr>
            <w:tcW w:w="2268" w:type="dxa"/>
            <w:shd w:val="pct5" w:color="000000" w:fill="FFFFFF"/>
            <w:vAlign w:val="bottom"/>
          </w:tcPr>
          <w:p w:rsidR="009133FD" w:rsidRPr="001E4C31" w:rsidRDefault="009133FD" w:rsidP="009133FD">
            <w:pPr>
              <w:spacing w:before="120" w:after="120"/>
              <w:jc w:val="center"/>
              <w:rPr>
                <w:sz w:val="20"/>
                <w:szCs w:val="20"/>
              </w:rPr>
            </w:pPr>
            <w:r>
              <w:rPr>
                <w:sz w:val="20"/>
                <w:szCs w:val="20"/>
              </w:rPr>
              <w:t>Code Baseline</w:t>
            </w:r>
          </w:p>
        </w:tc>
      </w:tr>
      <w:tr w:rsidR="009133FD" w:rsidRPr="00C41E61" w:rsidTr="009133FD">
        <w:tc>
          <w:tcPr>
            <w:tcW w:w="2808" w:type="dxa"/>
            <w:shd w:val="pct20" w:color="000000" w:fill="FFFFFF"/>
            <w:vAlign w:val="bottom"/>
          </w:tcPr>
          <w:p w:rsidR="009133FD" w:rsidRPr="001E4C31" w:rsidRDefault="009133FD" w:rsidP="009133FD">
            <w:pPr>
              <w:spacing w:before="120" w:after="120"/>
              <w:jc w:val="center"/>
              <w:rPr>
                <w:rStyle w:val="Strong"/>
                <w:b w:val="0"/>
              </w:rPr>
            </w:pPr>
            <w:bookmarkStart w:id="37" w:name="_Toc324318353"/>
            <w:r w:rsidRPr="001E4C31">
              <w:rPr>
                <w:rStyle w:val="Strong"/>
                <w:i/>
              </w:rPr>
              <w:t>ROB</w:t>
            </w:r>
            <w:r w:rsidRPr="001E4C31">
              <w:rPr>
                <w:rStyle w:val="Strong"/>
              </w:rPr>
              <w:t xml:space="preserve"> (replace-on-burnout)</w:t>
            </w:r>
            <w:bookmarkEnd w:id="37"/>
          </w:p>
        </w:tc>
        <w:tc>
          <w:tcPr>
            <w:tcW w:w="1710" w:type="dxa"/>
            <w:shd w:val="pct20" w:color="000000" w:fill="FFFFFF"/>
            <w:vAlign w:val="bottom"/>
          </w:tcPr>
          <w:p w:rsidR="009133FD" w:rsidRPr="001E4C31" w:rsidRDefault="009133FD" w:rsidP="009133FD">
            <w:pPr>
              <w:spacing w:before="120" w:after="120"/>
              <w:jc w:val="center"/>
              <w:rPr>
                <w:rStyle w:val="Strong"/>
                <w:b w:val="0"/>
              </w:rPr>
            </w:pPr>
            <w:bookmarkStart w:id="38" w:name="_Toc324318354"/>
            <w:r w:rsidRPr="001E4C31">
              <w:rPr>
                <w:rStyle w:val="Strong"/>
              </w:rPr>
              <w:t>EUL</w:t>
            </w:r>
            <w:bookmarkEnd w:id="38"/>
          </w:p>
        </w:tc>
        <w:tc>
          <w:tcPr>
            <w:tcW w:w="2790" w:type="dxa"/>
            <w:shd w:val="pct20" w:color="000000" w:fill="FFFFFF"/>
            <w:vAlign w:val="bottom"/>
          </w:tcPr>
          <w:p w:rsidR="009133FD" w:rsidRPr="001E4C31" w:rsidRDefault="009133FD" w:rsidP="009133FD">
            <w:pPr>
              <w:spacing w:before="120" w:after="120"/>
              <w:jc w:val="center"/>
              <w:rPr>
                <w:sz w:val="20"/>
                <w:szCs w:val="20"/>
              </w:rPr>
            </w:pPr>
            <w:bookmarkStart w:id="39" w:name="_Toc324318355"/>
            <w:r w:rsidRPr="001E4C31">
              <w:rPr>
                <w:sz w:val="20"/>
                <w:szCs w:val="20"/>
              </w:rPr>
              <w:t>Code Baseline</w:t>
            </w:r>
            <w:bookmarkEnd w:id="39"/>
          </w:p>
        </w:tc>
        <w:tc>
          <w:tcPr>
            <w:tcW w:w="2268" w:type="dxa"/>
            <w:shd w:val="pct20" w:color="000000" w:fill="FFFFFF"/>
            <w:vAlign w:val="bottom"/>
          </w:tcPr>
          <w:p w:rsidR="009133FD" w:rsidRPr="001E4C31" w:rsidRDefault="009133FD" w:rsidP="009133FD">
            <w:pPr>
              <w:spacing w:before="120" w:after="120"/>
              <w:jc w:val="center"/>
              <w:rPr>
                <w:sz w:val="20"/>
                <w:szCs w:val="20"/>
              </w:rPr>
            </w:pPr>
            <w:bookmarkStart w:id="40" w:name="_Toc324318356"/>
            <w:r w:rsidRPr="001E4C31">
              <w:rPr>
                <w:sz w:val="20"/>
                <w:szCs w:val="20"/>
              </w:rPr>
              <w:t>N/A</w:t>
            </w:r>
            <w:bookmarkEnd w:id="40"/>
          </w:p>
        </w:tc>
      </w:tr>
      <w:tr w:rsidR="009133FD" w:rsidRPr="00C41E61" w:rsidTr="009133FD">
        <w:tc>
          <w:tcPr>
            <w:tcW w:w="2808" w:type="dxa"/>
            <w:shd w:val="pct5" w:color="000000" w:fill="FFFFFF"/>
            <w:vAlign w:val="bottom"/>
          </w:tcPr>
          <w:p w:rsidR="009133FD" w:rsidRPr="001E4C31" w:rsidRDefault="009133FD" w:rsidP="009133FD">
            <w:pPr>
              <w:spacing w:before="120" w:after="120"/>
              <w:jc w:val="center"/>
              <w:rPr>
                <w:rStyle w:val="Strong"/>
                <w:b w:val="0"/>
              </w:rPr>
            </w:pPr>
            <w:bookmarkStart w:id="41" w:name="_Toc324318357"/>
            <w:r>
              <w:rPr>
                <w:rStyle w:val="Strong"/>
                <w:i/>
              </w:rPr>
              <w:t>NC</w:t>
            </w:r>
            <w:r w:rsidRPr="001E4C31">
              <w:rPr>
                <w:rStyle w:val="Strong"/>
              </w:rPr>
              <w:t xml:space="preserve"> (</w:t>
            </w:r>
            <w:r w:rsidRPr="00ED7D3D">
              <w:rPr>
                <w:rStyle w:val="Strong"/>
              </w:rPr>
              <w:t>new</w:t>
            </w:r>
            <w:r>
              <w:rPr>
                <w:rStyle w:val="Strong"/>
              </w:rPr>
              <w:t xml:space="preserve"> construction</w:t>
            </w:r>
            <w:r w:rsidRPr="001E4C31">
              <w:rPr>
                <w:rStyle w:val="Strong"/>
              </w:rPr>
              <w:t>)</w:t>
            </w:r>
            <w:bookmarkEnd w:id="41"/>
          </w:p>
        </w:tc>
        <w:tc>
          <w:tcPr>
            <w:tcW w:w="1710" w:type="dxa"/>
            <w:shd w:val="pct5" w:color="000000" w:fill="FFFFFF"/>
            <w:vAlign w:val="bottom"/>
          </w:tcPr>
          <w:p w:rsidR="009133FD" w:rsidRPr="001E4C31" w:rsidRDefault="009133FD" w:rsidP="009133FD">
            <w:pPr>
              <w:spacing w:before="120" w:after="120"/>
              <w:jc w:val="center"/>
              <w:rPr>
                <w:rStyle w:val="Strong"/>
                <w:b w:val="0"/>
              </w:rPr>
            </w:pPr>
            <w:bookmarkStart w:id="42" w:name="_Toc324318358"/>
            <w:r w:rsidRPr="001E4C31">
              <w:rPr>
                <w:rStyle w:val="Strong"/>
              </w:rPr>
              <w:t>RUL/EUL-RUL</w:t>
            </w:r>
            <w:bookmarkEnd w:id="42"/>
          </w:p>
        </w:tc>
        <w:tc>
          <w:tcPr>
            <w:tcW w:w="2790" w:type="dxa"/>
            <w:shd w:val="pct5" w:color="000000" w:fill="FFFFFF"/>
            <w:vAlign w:val="bottom"/>
          </w:tcPr>
          <w:p w:rsidR="009133FD" w:rsidRPr="001E4C31" w:rsidRDefault="009133FD" w:rsidP="009133FD">
            <w:pPr>
              <w:spacing w:before="120" w:after="120"/>
              <w:jc w:val="center"/>
              <w:rPr>
                <w:sz w:val="20"/>
                <w:szCs w:val="20"/>
              </w:rPr>
            </w:pPr>
            <w:bookmarkStart w:id="43" w:name="_Toc324318359"/>
            <w:r>
              <w:rPr>
                <w:sz w:val="20"/>
                <w:szCs w:val="20"/>
              </w:rPr>
              <w:t>Code</w:t>
            </w:r>
            <w:r w:rsidRPr="001E4C31">
              <w:rPr>
                <w:sz w:val="20"/>
                <w:szCs w:val="20"/>
              </w:rPr>
              <w:t xml:space="preserve"> Baseline</w:t>
            </w:r>
            <w:bookmarkEnd w:id="43"/>
          </w:p>
        </w:tc>
        <w:tc>
          <w:tcPr>
            <w:tcW w:w="2268" w:type="dxa"/>
            <w:shd w:val="pct5" w:color="000000" w:fill="FFFFFF"/>
            <w:vAlign w:val="bottom"/>
          </w:tcPr>
          <w:p w:rsidR="009133FD" w:rsidRPr="001E4C31" w:rsidRDefault="009133FD" w:rsidP="009133FD">
            <w:pPr>
              <w:spacing w:before="120" w:after="120"/>
              <w:jc w:val="center"/>
              <w:rPr>
                <w:sz w:val="20"/>
                <w:szCs w:val="20"/>
              </w:rPr>
            </w:pPr>
            <w:r>
              <w:rPr>
                <w:sz w:val="20"/>
                <w:szCs w:val="20"/>
              </w:rPr>
              <w:t>N/A</w:t>
            </w:r>
          </w:p>
        </w:tc>
      </w:tr>
    </w:tbl>
    <w:p w:rsidR="009133FD" w:rsidRPr="007F2147" w:rsidRDefault="009133FD" w:rsidP="009133FD">
      <w:pPr>
        <w:rPr>
          <w:rFonts w:cs="Arial"/>
          <w:sz w:val="20"/>
          <w:szCs w:val="20"/>
        </w:rPr>
      </w:pPr>
      <w:r w:rsidRPr="007F2147">
        <w:rPr>
          <w:rFonts w:cs="Arial"/>
          <w:sz w:val="20"/>
          <w:szCs w:val="20"/>
        </w:rPr>
        <w:t xml:space="preserve">Notes: </w:t>
      </w:r>
    </w:p>
    <w:p w:rsidR="009133FD" w:rsidRPr="007F2147" w:rsidRDefault="009133FD" w:rsidP="009133FD">
      <w:pPr>
        <w:numPr>
          <w:ilvl w:val="0"/>
          <w:numId w:val="25"/>
        </w:numPr>
        <w:rPr>
          <w:rFonts w:cs="Arial"/>
          <w:sz w:val="20"/>
          <w:szCs w:val="20"/>
        </w:rPr>
      </w:pPr>
      <w:r w:rsidRPr="007F2147">
        <w:rPr>
          <w:rFonts w:cs="Arial"/>
          <w:sz w:val="20"/>
          <w:szCs w:val="20"/>
        </w:rPr>
        <w:t>For ROB measures, First Baseline is the baseline for the full EUL.</w:t>
      </w:r>
      <w:r>
        <w:rPr>
          <w:rFonts w:cs="Arial"/>
          <w:sz w:val="20"/>
          <w:szCs w:val="20"/>
        </w:rPr>
        <w:t xml:space="preserve"> There is no second baseline.</w:t>
      </w:r>
    </w:p>
    <w:p w:rsidR="009133FD" w:rsidRDefault="009133FD" w:rsidP="009133FD">
      <w:pPr>
        <w:numPr>
          <w:ilvl w:val="0"/>
          <w:numId w:val="25"/>
        </w:numPr>
        <w:rPr>
          <w:rFonts w:cs="Arial"/>
          <w:sz w:val="20"/>
          <w:szCs w:val="20"/>
        </w:rPr>
      </w:pPr>
      <w:r w:rsidRPr="007F2147">
        <w:rPr>
          <w:rFonts w:cs="Arial"/>
          <w:sz w:val="20"/>
          <w:szCs w:val="20"/>
        </w:rPr>
        <w:t xml:space="preserve">For ER measures, First Baseline </w:t>
      </w:r>
      <w:r>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Pr>
          <w:rFonts w:cs="Arial"/>
          <w:sz w:val="20"/>
          <w:szCs w:val="20"/>
        </w:rPr>
        <w:t>(</w:t>
      </w:r>
      <w:proofErr w:type="gramEnd"/>
      <w:r>
        <w:rPr>
          <w:rFonts w:cs="Arial"/>
          <w:sz w:val="20"/>
          <w:szCs w:val="20"/>
        </w:rPr>
        <w:t>remaining useful life)</w:t>
      </w:r>
      <w:r w:rsidRPr="007F2147">
        <w:rPr>
          <w:rFonts w:cs="Arial"/>
          <w:sz w:val="20"/>
          <w:szCs w:val="20"/>
        </w:rPr>
        <w:t>,</w:t>
      </w:r>
      <w:r>
        <w:rPr>
          <w:rFonts w:cs="Arial"/>
          <w:sz w:val="20"/>
          <w:szCs w:val="20"/>
        </w:rPr>
        <w:t xml:space="preserve">defined by the CPUC as </w:t>
      </w:r>
      <w:r w:rsidRPr="007F2147">
        <w:rPr>
          <w:rFonts w:cs="Arial"/>
          <w:sz w:val="20"/>
          <w:szCs w:val="20"/>
        </w:rPr>
        <w:t>RUL=1/3</w:t>
      </w:r>
      <w:r>
        <w:rPr>
          <w:rFonts w:cs="Arial"/>
          <w:sz w:val="20"/>
          <w:szCs w:val="20"/>
        </w:rPr>
        <w:t xml:space="preserve"> </w:t>
      </w:r>
      <w:r w:rsidRPr="007F2147">
        <w:rPr>
          <w:rFonts w:cs="Arial"/>
          <w:sz w:val="20"/>
          <w:szCs w:val="20"/>
        </w:rPr>
        <w:t>EUL. Second baseline</w:t>
      </w:r>
      <w:r>
        <w:rPr>
          <w:rFonts w:cs="Arial"/>
          <w:sz w:val="20"/>
          <w:szCs w:val="20"/>
        </w:rPr>
        <w:t xml:space="preserve"> period</w:t>
      </w:r>
      <w:r w:rsidRPr="007F2147">
        <w:rPr>
          <w:rFonts w:cs="Arial"/>
          <w:sz w:val="20"/>
          <w:szCs w:val="20"/>
        </w:rPr>
        <w:t xml:space="preserve"> for ER is Code baseline for the period EUL-RUL.</w:t>
      </w:r>
    </w:p>
    <w:p w:rsidR="009133FD" w:rsidRDefault="009133FD" w:rsidP="009133FD"/>
    <w:p w:rsidR="009133FD" w:rsidRDefault="009133FD" w:rsidP="009133FD"/>
    <w:p w:rsidR="009133FD" w:rsidRDefault="009133FD" w:rsidP="009133FD">
      <w:pPr>
        <w:pStyle w:val="Heading2"/>
      </w:pPr>
      <w:bookmarkStart w:id="44" w:name="_Toc383441999"/>
      <w:bookmarkStart w:id="45" w:name="_Toc386465497"/>
      <w:r>
        <w:t>2.1 Electric Energy Savings Estimation Methodologies</w:t>
      </w:r>
      <w:bookmarkEnd w:id="44"/>
      <w:bookmarkEnd w:id="45"/>
    </w:p>
    <w:p w:rsidR="009133FD" w:rsidRPr="009133FD" w:rsidRDefault="009133FD" w:rsidP="009133FD"/>
    <w:p w:rsidR="006870A5" w:rsidRPr="00630142" w:rsidRDefault="006870A5" w:rsidP="006870A5">
      <w:bookmarkStart w:id="46" w:name="_Toc214003093"/>
      <w:r w:rsidRPr="00630142">
        <w:t xml:space="preserve">The following assumptions were made for the calculations of this work paper: </w:t>
      </w:r>
    </w:p>
    <w:p w:rsidR="006870A5" w:rsidRPr="00630142" w:rsidRDefault="006870A5" w:rsidP="006870A5">
      <w:pPr>
        <w:pStyle w:val="ListParagraph"/>
        <w:numPr>
          <w:ilvl w:val="0"/>
          <w:numId w:val="9"/>
        </w:numPr>
      </w:pPr>
      <w:r w:rsidRPr="00630142">
        <w:t>The building sim</w:t>
      </w:r>
      <w:r w:rsidR="00394101">
        <w:t>ulation models were generated f</w:t>
      </w:r>
      <w:r w:rsidRPr="00630142">
        <w:t>r</w:t>
      </w:r>
      <w:r w:rsidR="00394101">
        <w:t>om the DEER measure analysis</w:t>
      </w:r>
      <w:r w:rsidR="00F66F85">
        <w:t xml:space="preserve"> tool within </w:t>
      </w:r>
      <w:proofErr w:type="spellStart"/>
      <w:r w:rsidR="00F66F85">
        <w:t>eQ</w:t>
      </w:r>
      <w:r w:rsidR="00DE2F43">
        <w:t>UEST</w:t>
      </w:r>
      <w:proofErr w:type="spellEnd"/>
      <w:r w:rsidR="00F66F85">
        <w:t xml:space="preserve"> 3-</w:t>
      </w:r>
      <w:r w:rsidR="00394101">
        <w:t>61R. The DEER model simulates a</w:t>
      </w:r>
      <w:r w:rsidRPr="00630142">
        <w:t xml:space="preserve"> </w:t>
      </w:r>
      <w:r w:rsidR="00394101">
        <w:t>g</w:t>
      </w:r>
      <w:r w:rsidR="00032C25">
        <w:t>rocery s</w:t>
      </w:r>
      <w:r w:rsidRPr="00630142">
        <w:t xml:space="preserve">tore with </w:t>
      </w:r>
      <w:r w:rsidR="00394101">
        <w:t xml:space="preserve">a </w:t>
      </w:r>
      <w:r w:rsidRPr="00630142">
        <w:t>multiplex-compres</w:t>
      </w:r>
      <w:r w:rsidR="00B17B22">
        <w:t>sor system for the refrigerated</w:t>
      </w:r>
      <w:r w:rsidRPr="00630142">
        <w:t xml:space="preserve"> display cases. </w:t>
      </w:r>
      <w:r w:rsidR="00BD55AA" w:rsidRPr="00630142">
        <w:t>Since s</w:t>
      </w:r>
      <w:r w:rsidRPr="00630142">
        <w:t>ingle-compressor systems are</w:t>
      </w:r>
      <w:r w:rsidR="000135D3">
        <w:t xml:space="preserve"> generally</w:t>
      </w:r>
      <w:r w:rsidR="006E4EF0">
        <w:t xml:space="preserve"> slightly</w:t>
      </w:r>
      <w:r w:rsidRPr="00630142">
        <w:t xml:space="preserve"> less efficient than multiplex-compressor systems</w:t>
      </w:r>
      <w:r w:rsidR="00BD55AA" w:rsidRPr="00630142">
        <w:t>, only multiplex systems have been analyzed as a conservative estimate of savings.</w:t>
      </w:r>
      <w:r w:rsidRPr="00630142">
        <w:t xml:space="preserve"> To be conservative, it is assumed that the generated energy savings of this work paper will also be applied to display cases </w:t>
      </w:r>
      <w:r w:rsidR="0047466E" w:rsidRPr="00630142">
        <w:t>with single-compressor systems.</w:t>
      </w:r>
    </w:p>
    <w:p w:rsidR="006870A5" w:rsidRPr="00630142" w:rsidRDefault="00953D46" w:rsidP="006870A5">
      <w:pPr>
        <w:pStyle w:val="ListParagraph"/>
        <w:numPr>
          <w:ilvl w:val="0"/>
          <w:numId w:val="9"/>
        </w:numPr>
      </w:pPr>
      <w:r>
        <w:t>This work paper</w:t>
      </w:r>
      <w:r w:rsidR="006870A5" w:rsidRPr="00630142">
        <w:t xml:space="preserve"> applie</w:t>
      </w:r>
      <w:r>
        <w:t>s</w:t>
      </w:r>
      <w:r w:rsidR="006870A5" w:rsidRPr="00630142">
        <w:t xml:space="preserve"> to display cases located </w:t>
      </w:r>
      <w:r w:rsidR="00EA4162">
        <w:t>within a space with</w:t>
      </w:r>
      <w:r w:rsidR="006870A5" w:rsidRPr="00630142">
        <w:t xml:space="preserve"> heating</w:t>
      </w:r>
      <w:r w:rsidR="00EA4162">
        <w:t>,</w:t>
      </w:r>
      <w:r w:rsidR="006870A5" w:rsidRPr="00630142">
        <w:t xml:space="preserve"> cooling</w:t>
      </w:r>
      <w:r w:rsidR="00EA4162">
        <w:t>, and humidity controls</w:t>
      </w:r>
      <w:r w:rsidR="006870A5" w:rsidRPr="00630142">
        <w:t xml:space="preserve">. The unit energy savings </w:t>
      </w:r>
      <w:r w:rsidR="0031038B">
        <w:t>are</w:t>
      </w:r>
      <w:r w:rsidR="006870A5" w:rsidRPr="00630142">
        <w:t xml:space="preserve"> represented per linear-foot of the display case. The building simulati</w:t>
      </w:r>
      <w:r w:rsidR="00D7591B">
        <w:t>on models were generated for a grocery s</w:t>
      </w:r>
      <w:r w:rsidR="006870A5" w:rsidRPr="00630142">
        <w:t>tore. Since the heat gain to a display case mainly depends on the temperature maintained for the display case and the surrounding space temperature, it is assumed that the building types would not have significant impact on the energy savings. Thus, the result</w:t>
      </w:r>
      <w:r w:rsidR="00783FA2" w:rsidRPr="00630142">
        <w:t>ing</w:t>
      </w:r>
      <w:r w:rsidR="006870A5" w:rsidRPr="00630142">
        <w:t xml:space="preserve"> savings of </w:t>
      </w:r>
      <w:r w:rsidR="00A71CAB">
        <w:t xml:space="preserve">the </w:t>
      </w:r>
      <w:r w:rsidR="00EA24CD">
        <w:t>g</w:t>
      </w:r>
      <w:r w:rsidR="006870A5" w:rsidRPr="00630142">
        <w:t xml:space="preserve">rocery </w:t>
      </w:r>
      <w:r w:rsidR="00EA24CD">
        <w:t>s</w:t>
      </w:r>
      <w:r w:rsidR="006870A5" w:rsidRPr="00630142">
        <w:t xml:space="preserve">tore </w:t>
      </w:r>
      <w:r w:rsidR="00A71CAB">
        <w:t xml:space="preserve">model </w:t>
      </w:r>
      <w:r w:rsidR="006870A5" w:rsidRPr="00630142">
        <w:t>is applied to all other building types considered in this work paper</w:t>
      </w:r>
      <w:r w:rsidR="00A71CAB">
        <w:t>.</w:t>
      </w:r>
      <w:r w:rsidR="006870A5" w:rsidRPr="00630142">
        <w:t xml:space="preserve"> </w:t>
      </w:r>
    </w:p>
    <w:p w:rsidR="006870A5" w:rsidRPr="00630142" w:rsidRDefault="006870A5" w:rsidP="006870A5">
      <w:pPr>
        <w:rPr>
          <w:color w:val="FF0000"/>
        </w:rPr>
      </w:pPr>
    </w:p>
    <w:p w:rsidR="006870A5" w:rsidRPr="00630142" w:rsidRDefault="006870A5" w:rsidP="006870A5">
      <w:pPr>
        <w:rPr>
          <w:color w:val="FF0000"/>
        </w:rPr>
      </w:pPr>
      <w:r w:rsidRPr="00630142">
        <w:t>The energy savings and demand</w:t>
      </w:r>
      <w:r w:rsidR="00CB1B15">
        <w:t xml:space="preserve"> reduction for this </w:t>
      </w:r>
      <w:proofErr w:type="spellStart"/>
      <w:r w:rsidR="00CB1B15">
        <w:t>workpaper</w:t>
      </w:r>
      <w:proofErr w:type="spellEnd"/>
      <w:r w:rsidR="00CB1B15">
        <w:t xml:space="preserve"> are</w:t>
      </w:r>
      <w:r w:rsidRPr="00630142">
        <w:t xml:space="preserve"> based on replacing the existing open vertical (multi-deck) low temperature and medium temperature display cases with reach-in glass door display cases. The display cases are </w:t>
      </w:r>
      <w:r w:rsidR="009606A1">
        <w:t xml:space="preserve">generally </w:t>
      </w:r>
      <w:r w:rsidRPr="00630142">
        <w:t>applicable to, but not limited to, grocery stores. The base</w:t>
      </w:r>
      <w:r w:rsidR="00C2419B">
        <w:t xml:space="preserve">line </w:t>
      </w:r>
      <w:r w:rsidRPr="00630142">
        <w:t xml:space="preserve">display cases </w:t>
      </w:r>
      <w:r w:rsidR="005661F3">
        <w:t>were</w:t>
      </w:r>
      <w:r w:rsidRPr="00630142">
        <w:t xml:space="preserve"> replaced with similar cases with glass doors. </w:t>
      </w:r>
      <w:r w:rsidR="00DB7891">
        <w:t>Based on industry practice</w:t>
      </w:r>
      <w:r w:rsidR="00DE2F43">
        <w:t>,</w:t>
      </w:r>
      <w:r w:rsidR="00DB7891">
        <w:t xml:space="preserve"> </w:t>
      </w:r>
      <w:r w:rsidR="00C2419B">
        <w:t xml:space="preserve">the medium temperature retrofit incorporated </w:t>
      </w:r>
      <w:r w:rsidR="00DB7891" w:rsidRPr="00112D76">
        <w:t>a</w:t>
      </w:r>
      <w:r w:rsidRPr="00112D76">
        <w:t>dditional case lighting to improve product visibility</w:t>
      </w:r>
      <w:r w:rsidR="00C2419B">
        <w:t>. D</w:t>
      </w:r>
      <w:r w:rsidR="00171D37">
        <w:t xml:space="preserve">ue to the addition of </w:t>
      </w:r>
      <w:r w:rsidR="00C2419B">
        <w:t xml:space="preserve">the </w:t>
      </w:r>
      <w:r w:rsidR="00171D37">
        <w:t>LED lights the over</w:t>
      </w:r>
      <w:r w:rsidR="00325DA4">
        <w:t>all</w:t>
      </w:r>
      <w:r w:rsidR="00171D37">
        <w:t xml:space="preserve"> case lighting power density</w:t>
      </w:r>
      <w:r w:rsidR="00C2419B">
        <w:t xml:space="preserve"> for the medium temperature case</w:t>
      </w:r>
      <w:r w:rsidR="00171D37">
        <w:t xml:space="preserve"> was reduced</w:t>
      </w:r>
      <w:r w:rsidRPr="00112D76">
        <w:t>.</w:t>
      </w:r>
      <w:r w:rsidR="00C2419B">
        <w:t xml:space="preserve"> The low temperature baseline case included LED lighting and no change was made to the power density per foot. </w:t>
      </w:r>
      <w:r w:rsidRPr="00630142">
        <w:t xml:space="preserve"> Replacing open display cases with reach-in glass door display cases </w:t>
      </w:r>
      <w:r w:rsidR="00C2419B">
        <w:t xml:space="preserve">will </w:t>
      </w:r>
      <w:r w:rsidRPr="00630142">
        <w:t xml:space="preserve">reduce the infiltration load significantly, resulting in savings on the refrigeration cooling load and space heating load.  </w:t>
      </w:r>
    </w:p>
    <w:p w:rsidR="006870A5" w:rsidRPr="00630142" w:rsidRDefault="006870A5" w:rsidP="006870A5"/>
    <w:p w:rsidR="006870A5" w:rsidRPr="00630142" w:rsidRDefault="006870A5" w:rsidP="006870A5">
      <w:r w:rsidRPr="00630142">
        <w:t xml:space="preserve">The DEER measure ID D03-207 replaces existing medium temperature multi-deck cases with new cases having glass doors. </w:t>
      </w:r>
      <w:r w:rsidR="00740EC2">
        <w:t>For the measure</w:t>
      </w:r>
      <w:r w:rsidR="00BF7FF2">
        <w:t>s</w:t>
      </w:r>
      <w:r w:rsidR="00740EC2">
        <w:t xml:space="preserve"> described in the </w:t>
      </w:r>
      <w:proofErr w:type="spellStart"/>
      <w:r w:rsidR="00740EC2">
        <w:t>workpaper</w:t>
      </w:r>
      <w:proofErr w:type="spellEnd"/>
      <w:r w:rsidR="00740EC2">
        <w:t xml:space="preserve"> t</w:t>
      </w:r>
      <w:r w:rsidRPr="00630142">
        <w:t>he new case</w:t>
      </w:r>
      <w:r w:rsidR="00C10D0C">
        <w:t>s are</w:t>
      </w:r>
      <w:r w:rsidRPr="00630142">
        <w:t xml:space="preserve"> assumed to have </w:t>
      </w:r>
      <w:r w:rsidR="00004C57">
        <w:t>low anti-sweat heat</w:t>
      </w:r>
      <w:r w:rsidRPr="00630142">
        <w:t xml:space="preserve"> </w:t>
      </w:r>
      <w:r w:rsidR="00C10D0C">
        <w:t xml:space="preserve">(ASH) </w:t>
      </w:r>
      <w:r w:rsidRPr="00630142">
        <w:t xml:space="preserve">doors, ECM motors, </w:t>
      </w:r>
      <w:r w:rsidR="00004C57">
        <w:t>and L</w:t>
      </w:r>
      <w:r w:rsidRPr="00630142">
        <w:t>E</w:t>
      </w:r>
      <w:r w:rsidR="00004C57">
        <w:t>D</w:t>
      </w:r>
      <w:r w:rsidR="00C10D0C">
        <w:t xml:space="preserve"> lighting. This is a change from the original </w:t>
      </w:r>
      <w:r w:rsidR="00FC17B4">
        <w:t xml:space="preserve">DEER </w:t>
      </w:r>
      <w:r w:rsidR="00C10D0C">
        <w:t xml:space="preserve">measure which did not take into account the lower ASH and </w:t>
      </w:r>
      <w:r w:rsidR="00BF7FF2">
        <w:t>LED lighting</w:t>
      </w:r>
      <w:r w:rsidR="00C10D0C">
        <w:t xml:space="preserve">. </w:t>
      </w:r>
      <w:r w:rsidR="008D6788">
        <w:t>Due to the lower ASH power requirement in the medium temperature cases, it was assumed that the ASH</w:t>
      </w:r>
      <w:r w:rsidR="00BF7FF2">
        <w:t xml:space="preserve"> controls would be fixed in the</w:t>
      </w:r>
      <w:r w:rsidR="008D6788">
        <w:t xml:space="preserve"> measure.</w:t>
      </w:r>
    </w:p>
    <w:p w:rsidR="006870A5" w:rsidRPr="00630142" w:rsidRDefault="006870A5" w:rsidP="006870A5"/>
    <w:p w:rsidR="00850F61" w:rsidRPr="00850F61" w:rsidRDefault="00CD35D7" w:rsidP="006870A5">
      <w:pPr>
        <w:rPr>
          <w:sz w:val="22"/>
        </w:rPr>
      </w:pPr>
      <w:r>
        <w:t>Although energy savings differ across the various climate zones</w:t>
      </w:r>
      <w:r w:rsidR="0022631A">
        <w:t xml:space="preserve"> due to changing system design parameters</w:t>
      </w:r>
      <w:r>
        <w:t xml:space="preserve"> the two measures</w:t>
      </w:r>
      <w:r w:rsidR="006870A5" w:rsidRPr="00630142">
        <w:t xml:space="preserve"> </w:t>
      </w:r>
      <w:r w:rsidR="00C10D0C">
        <w:t>are</w:t>
      </w:r>
      <w:r w:rsidR="006870A5" w:rsidRPr="00630142">
        <w:t xml:space="preserve"> </w:t>
      </w:r>
      <w:r>
        <w:t xml:space="preserve">not directly </w:t>
      </w:r>
      <w:r w:rsidR="006870A5" w:rsidRPr="00630142">
        <w:t>weather sensitive</w:t>
      </w:r>
      <w:r>
        <w:t>.</w:t>
      </w:r>
      <w:r w:rsidR="006870A5" w:rsidRPr="00630142">
        <w:t xml:space="preserve"> </w:t>
      </w:r>
      <w:r>
        <w:t>T</w:t>
      </w:r>
      <w:r w:rsidR="006870A5" w:rsidRPr="00630142">
        <w:t>he building energy simulation tool</w:t>
      </w:r>
      <w:r w:rsidR="00DE2F43">
        <w:t>,</w:t>
      </w:r>
      <w:r w:rsidR="006870A5" w:rsidRPr="00630142">
        <w:t xml:space="preserve"> </w:t>
      </w:r>
      <w:proofErr w:type="spellStart"/>
      <w:r w:rsidR="006870A5" w:rsidRPr="00630142">
        <w:t>eQ</w:t>
      </w:r>
      <w:r w:rsidR="00DE2F43">
        <w:t>UEST</w:t>
      </w:r>
      <w:proofErr w:type="spellEnd"/>
      <w:r w:rsidR="006870A5" w:rsidRPr="00630142">
        <w:t xml:space="preserve"> </w:t>
      </w:r>
      <w:r w:rsidR="00975F1C">
        <w:t>3-61R</w:t>
      </w:r>
      <w:r w:rsidR="00DE2F43">
        <w:t>,</w:t>
      </w:r>
      <w:r w:rsidR="00F961D4" w:rsidRPr="00630142">
        <w:t xml:space="preserve"> </w:t>
      </w:r>
      <w:r w:rsidR="006870A5" w:rsidRPr="00630142">
        <w:t xml:space="preserve">was </w:t>
      </w:r>
      <w:r w:rsidR="00DE2F43">
        <w:t xml:space="preserve">used </w:t>
      </w:r>
      <w:r w:rsidR="0022631A">
        <w:t>in</w:t>
      </w:r>
      <w:r w:rsidR="0095320E">
        <w:t xml:space="preserve"> determin</w:t>
      </w:r>
      <w:r w:rsidR="0022631A">
        <w:t>ing</w:t>
      </w:r>
      <w:r w:rsidR="0095320E">
        <w:t xml:space="preserve"> the impact of the measure across all California climate zones</w:t>
      </w:r>
      <w:r w:rsidR="006870A5" w:rsidRPr="00630142">
        <w:t xml:space="preserve">. The built-in DEER </w:t>
      </w:r>
      <w:r w:rsidR="00BF1C7A">
        <w:t>grocery store</w:t>
      </w:r>
      <w:r w:rsidR="003662E1">
        <w:t xml:space="preserve"> prototype</w:t>
      </w:r>
      <w:r w:rsidR="009969B3">
        <w:t xml:space="preserve"> for vintage 2002-2005</w:t>
      </w:r>
      <w:r w:rsidR="00BF1C7A">
        <w:t xml:space="preserve"> was</w:t>
      </w:r>
      <w:r w:rsidR="006870A5" w:rsidRPr="00630142">
        <w:t xml:space="preserve"> used for</w:t>
      </w:r>
      <w:r w:rsidR="00BF1C7A">
        <w:t xml:space="preserve"> all</w:t>
      </w:r>
      <w:r w:rsidR="006870A5" w:rsidRPr="00630142">
        <w:t xml:space="preserve"> simulations of the measure</w:t>
      </w:r>
      <w:r w:rsidR="00BF1C7A">
        <w:t xml:space="preserve"> including both medium temperature and low temperature cases.</w:t>
      </w:r>
      <w:r w:rsidR="00957CA0">
        <w:t xml:space="preserve"> The DEER grocery prototype</w:t>
      </w:r>
      <w:r w:rsidR="006870A5" w:rsidRPr="00630142">
        <w:t xml:space="preserve"> consider</w:t>
      </w:r>
      <w:r w:rsidR="00882AB6">
        <w:t>ed</w:t>
      </w:r>
      <w:r w:rsidR="006870A5" w:rsidRPr="00630142">
        <w:t xml:space="preserve"> multiplex-compressor systems as the refrigeration</w:t>
      </w:r>
      <w:r w:rsidR="000F4783">
        <w:t xml:space="preserve"> system </w:t>
      </w:r>
      <w:r w:rsidR="006870A5" w:rsidRPr="00630142">
        <w:t>type</w:t>
      </w:r>
      <w:r w:rsidR="000F4783">
        <w:t>. T</w:t>
      </w:r>
      <w:r w:rsidR="0065240E">
        <w:t>he DEER building prototypes</w:t>
      </w:r>
      <w:r w:rsidR="000F4783">
        <w:t xml:space="preserve"> </w:t>
      </w:r>
      <w:r w:rsidR="003854E1">
        <w:t>included</w:t>
      </w:r>
      <w:r w:rsidR="006870A5" w:rsidRPr="00630142">
        <w:t xml:space="preserve"> refrigeration fixtures for</w:t>
      </w:r>
      <w:r w:rsidR="00406709">
        <w:t xml:space="preserve"> both </w:t>
      </w:r>
      <w:r w:rsidR="000E6854">
        <w:t>open multi</w:t>
      </w:r>
      <w:r w:rsidR="00DE2F43">
        <w:t>-</w:t>
      </w:r>
      <w:r w:rsidR="000E6854">
        <w:t xml:space="preserve">deck medium temperature cases </w:t>
      </w:r>
      <w:r w:rsidR="00406709">
        <w:t xml:space="preserve">and </w:t>
      </w:r>
      <w:r w:rsidR="006870A5" w:rsidRPr="00630142">
        <w:t xml:space="preserve">low temperature vertical display cases with doors. Since no refrigeration fixtures </w:t>
      </w:r>
      <w:r w:rsidR="00C141E1">
        <w:t>existed</w:t>
      </w:r>
      <w:r w:rsidR="006870A5" w:rsidRPr="00630142">
        <w:t xml:space="preserve"> for low temperature open vertical display cases</w:t>
      </w:r>
      <w:r w:rsidR="00C3772E" w:rsidRPr="00630142">
        <w:t xml:space="preserve"> within the DEER </w:t>
      </w:r>
      <w:r w:rsidR="00AC5A45">
        <w:t xml:space="preserve">grocery </w:t>
      </w:r>
      <w:r w:rsidR="00C3772E" w:rsidRPr="00630142">
        <w:t>prototype</w:t>
      </w:r>
      <w:r w:rsidR="006870A5" w:rsidRPr="00630142">
        <w:t xml:space="preserve">, the baseline models were generated by modifying the </w:t>
      </w:r>
      <w:r w:rsidR="00695173">
        <w:t>similar</w:t>
      </w:r>
      <w:r w:rsidR="006870A5" w:rsidRPr="00630142">
        <w:t xml:space="preserve"> low temperature vertical display cases with doors into low temperature open vertical display cases.</w:t>
      </w:r>
      <w:r w:rsidR="00B37D20">
        <w:t xml:space="preserve"> Store relative humidity set point was also adjusted to 45% to match</w:t>
      </w:r>
      <w:r w:rsidR="007924F9">
        <w:t xml:space="preserve"> industry standard and more meaningfully simulate HVAC interactions</w:t>
      </w:r>
      <w:r w:rsidR="00C22E78">
        <w:rPr>
          <w:rStyle w:val="EndnoteReference"/>
        </w:rPr>
        <w:endnoteReference w:id="12"/>
      </w:r>
      <w:r w:rsidR="007924F9">
        <w:t>.</w:t>
      </w:r>
      <w:r w:rsidR="009969B3">
        <w:t xml:space="preserve"> The 2002 – 2005 vintage was the most recent vintage in the grocery building prototype that included open </w:t>
      </w:r>
      <w:proofErr w:type="spellStart"/>
      <w:r w:rsidR="009969B3">
        <w:t>multideck</w:t>
      </w:r>
      <w:proofErr w:type="spellEnd"/>
      <w:r w:rsidR="009969B3">
        <w:t xml:space="preserve"> display cases. It is also reasonable to expect that the newer refrigeration system in this vintage will yield conservative interactive effects and results may be applied to all vintages.</w:t>
      </w:r>
      <w:r w:rsidR="006870A5" w:rsidRPr="00630142">
        <w:t xml:space="preserve"> </w:t>
      </w:r>
      <w:r w:rsidR="00A6464B">
        <w:t>A summary of changes for c</w:t>
      </w:r>
      <w:r w:rsidR="006870A5" w:rsidRPr="00630142">
        <w:t>omponents of</w:t>
      </w:r>
      <w:r w:rsidR="00406709">
        <w:t xml:space="preserve"> both</w:t>
      </w:r>
      <w:r w:rsidR="006870A5" w:rsidRPr="00630142">
        <w:t xml:space="preserve"> the </w:t>
      </w:r>
      <w:r w:rsidR="00406709">
        <w:t xml:space="preserve">medium and </w:t>
      </w:r>
      <w:r w:rsidR="006870A5" w:rsidRPr="00630142">
        <w:t>low temperature vertical display case</w:t>
      </w:r>
      <w:r w:rsidR="00406709">
        <w:t xml:space="preserve">s in the baseline </w:t>
      </w:r>
      <w:r w:rsidR="006870A5" w:rsidRPr="00630142">
        <w:t xml:space="preserve">and measure models are included in </w:t>
      </w:r>
      <w:r w:rsidR="00682D3D" w:rsidRPr="00682D3D">
        <w:t>Table 4</w:t>
      </w:r>
      <w:r w:rsidR="006870A5" w:rsidRPr="00630142">
        <w:t xml:space="preserve"> </w:t>
      </w:r>
      <w:r w:rsidR="0037301F">
        <w:t xml:space="preserve">and </w:t>
      </w:r>
      <w:r w:rsidR="00682D3D" w:rsidRPr="00682D3D">
        <w:t xml:space="preserve">Table </w:t>
      </w:r>
      <w:r w:rsidR="00682D3D">
        <w:t>5</w:t>
      </w:r>
      <w:r w:rsidR="0037301F">
        <w:t xml:space="preserve"> </w:t>
      </w:r>
      <w:r w:rsidR="006870A5" w:rsidRPr="00630142">
        <w:t>below.</w:t>
      </w:r>
      <w:r w:rsidR="006870A5" w:rsidRPr="00E95FA2">
        <w:rPr>
          <w:sz w:val="22"/>
        </w:rPr>
        <w:t xml:space="preserve"> </w:t>
      </w:r>
    </w:p>
    <w:p w:rsidR="00850F61" w:rsidRPr="00E95FA2" w:rsidRDefault="00850F61" w:rsidP="006870A5">
      <w:pPr>
        <w:rPr>
          <w:b/>
          <w:color w:val="FF0000"/>
          <w:sz w:val="22"/>
        </w:rPr>
      </w:pPr>
    </w:p>
    <w:p w:rsidR="00396C5A" w:rsidRDefault="00591A33" w:rsidP="00553927">
      <w:pPr>
        <w:pStyle w:val="Caption"/>
      </w:pPr>
      <w:bookmarkStart w:id="47" w:name="_Toc386632088"/>
      <w:bookmarkStart w:id="48" w:name="_Ref325111028"/>
      <w:r>
        <w:t>Table 5</w:t>
      </w:r>
      <w:r w:rsidR="00396C5A" w:rsidRPr="00CF7037">
        <w:t xml:space="preserve"> Summary of Modeled </w:t>
      </w:r>
      <w:r w:rsidR="00396C5A">
        <w:t>Medium</w:t>
      </w:r>
      <w:r w:rsidR="00396C5A" w:rsidRPr="00CF7037">
        <w:t xml:space="preserve"> Temperature Vertical Display Cases</w:t>
      </w:r>
      <w:bookmarkEnd w:id="47"/>
    </w:p>
    <w:p w:rsidR="00850F61" w:rsidRPr="00850F61" w:rsidRDefault="00850F61" w:rsidP="00850F61"/>
    <w:tbl>
      <w:tblPr>
        <w:tblStyle w:val="TableContemporary"/>
        <w:tblW w:w="4944" w:type="pct"/>
        <w:tblLook w:val="01E0" w:firstRow="1" w:lastRow="1" w:firstColumn="1" w:lastColumn="1" w:noHBand="0" w:noVBand="0"/>
      </w:tblPr>
      <w:tblGrid>
        <w:gridCol w:w="4307"/>
        <w:gridCol w:w="2581"/>
        <w:gridCol w:w="2581"/>
      </w:tblGrid>
      <w:tr w:rsidR="00396C5A" w:rsidRPr="00E95FA2" w:rsidTr="008404CF">
        <w:trPr>
          <w:cnfStyle w:val="100000000000" w:firstRow="1" w:lastRow="0" w:firstColumn="0" w:lastColumn="0" w:oddVBand="0" w:evenVBand="0" w:oddHBand="0" w:evenHBand="0" w:firstRowFirstColumn="0" w:firstRowLastColumn="0" w:lastRowFirstColumn="0" w:lastRowLastColumn="0"/>
        </w:trPr>
        <w:tc>
          <w:tcPr>
            <w:tcW w:w="2274" w:type="pct"/>
          </w:tcPr>
          <w:p w:rsidR="00396C5A" w:rsidRPr="000E5398" w:rsidRDefault="00396C5A" w:rsidP="008404CF">
            <w:pPr>
              <w:jc w:val="center"/>
              <w:rPr>
                <w:b w:val="0"/>
                <w:bCs w:val="0"/>
                <w:highlight w:val="yellow"/>
              </w:rPr>
            </w:pPr>
            <w:r w:rsidRPr="000E5398">
              <w:rPr>
                <w:b w:val="0"/>
                <w:bCs w:val="0"/>
              </w:rPr>
              <w:t>Component</w:t>
            </w:r>
          </w:p>
        </w:tc>
        <w:tc>
          <w:tcPr>
            <w:tcW w:w="1363" w:type="pct"/>
          </w:tcPr>
          <w:p w:rsidR="00396C5A" w:rsidRPr="000E5398" w:rsidRDefault="00396C5A" w:rsidP="008404CF">
            <w:pPr>
              <w:jc w:val="center"/>
              <w:rPr>
                <w:b w:val="0"/>
                <w:bCs w:val="0"/>
              </w:rPr>
            </w:pPr>
            <w:r>
              <w:rPr>
                <w:b w:val="0"/>
                <w:bCs w:val="0"/>
              </w:rPr>
              <w:t>MOMD</w:t>
            </w:r>
            <w:r w:rsidR="0083561A" w:rsidRPr="0083561A">
              <w:rPr>
                <w:b w:val="0"/>
                <w:bCs w:val="0"/>
                <w:vertAlign w:val="superscript"/>
              </w:rPr>
              <w:t>1</w:t>
            </w:r>
            <w:r w:rsidRPr="000E5398">
              <w:rPr>
                <w:b w:val="0"/>
                <w:bCs w:val="0"/>
              </w:rPr>
              <w:t xml:space="preserve"> Values</w:t>
            </w:r>
            <w:r>
              <w:rPr>
                <w:b w:val="0"/>
                <w:bCs w:val="0"/>
              </w:rPr>
              <w:t>*</w:t>
            </w:r>
          </w:p>
          <w:p w:rsidR="00396C5A" w:rsidRPr="000E5398" w:rsidRDefault="00396C5A" w:rsidP="008404CF">
            <w:pPr>
              <w:jc w:val="center"/>
              <w:rPr>
                <w:b w:val="0"/>
                <w:bCs w:val="0"/>
                <w:highlight w:val="yellow"/>
              </w:rPr>
            </w:pPr>
            <w:r w:rsidRPr="000E5398">
              <w:rPr>
                <w:b w:val="0"/>
                <w:bCs w:val="0"/>
              </w:rPr>
              <w:t>(Baseline Model)</w:t>
            </w:r>
          </w:p>
        </w:tc>
        <w:tc>
          <w:tcPr>
            <w:tcW w:w="1363" w:type="pct"/>
          </w:tcPr>
          <w:p w:rsidR="00396C5A" w:rsidRPr="000E5398" w:rsidRDefault="00396C5A" w:rsidP="008404CF">
            <w:pPr>
              <w:jc w:val="center"/>
              <w:rPr>
                <w:b w:val="0"/>
                <w:bCs w:val="0"/>
              </w:rPr>
            </w:pPr>
            <w:r>
              <w:rPr>
                <w:b w:val="0"/>
                <w:bCs w:val="0"/>
              </w:rPr>
              <w:t>MRIMD</w:t>
            </w:r>
            <w:r w:rsidR="0083561A" w:rsidRPr="0083561A">
              <w:rPr>
                <w:b w:val="0"/>
                <w:bCs w:val="0"/>
                <w:vertAlign w:val="superscript"/>
              </w:rPr>
              <w:t>2</w:t>
            </w:r>
            <w:r w:rsidRPr="000E5398">
              <w:rPr>
                <w:b w:val="0"/>
                <w:bCs w:val="0"/>
              </w:rPr>
              <w:t xml:space="preserve"> Values</w:t>
            </w:r>
            <w:r>
              <w:rPr>
                <w:b w:val="0"/>
                <w:bCs w:val="0"/>
              </w:rPr>
              <w:t>*</w:t>
            </w:r>
          </w:p>
          <w:p w:rsidR="00396C5A" w:rsidRPr="000E5398" w:rsidRDefault="00396C5A" w:rsidP="008404CF">
            <w:pPr>
              <w:jc w:val="center"/>
              <w:rPr>
                <w:b w:val="0"/>
                <w:bCs w:val="0"/>
                <w:highlight w:val="yellow"/>
              </w:rPr>
            </w:pPr>
            <w:r w:rsidRPr="000E5398">
              <w:rPr>
                <w:b w:val="0"/>
                <w:bCs w:val="0"/>
              </w:rPr>
              <w:t>(Measure Model)</w:t>
            </w:r>
          </w:p>
        </w:tc>
      </w:tr>
      <w:tr w:rsidR="00396C5A" w:rsidRPr="00E95FA2" w:rsidTr="008404CF">
        <w:trPr>
          <w:cnfStyle w:val="000000100000" w:firstRow="0" w:lastRow="0" w:firstColumn="0" w:lastColumn="0" w:oddVBand="0" w:evenVBand="0" w:oddHBand="1" w:evenHBand="0" w:firstRowFirstColumn="0" w:firstRowLastColumn="0" w:lastRowFirstColumn="0" w:lastRowLastColumn="0"/>
        </w:trPr>
        <w:tc>
          <w:tcPr>
            <w:tcW w:w="2274" w:type="pct"/>
          </w:tcPr>
          <w:p w:rsidR="00396C5A" w:rsidRPr="000E5398" w:rsidRDefault="00396C5A" w:rsidP="008404CF">
            <w:r w:rsidRPr="000E5398">
              <w:t>Evaporator Fan Power</w:t>
            </w:r>
          </w:p>
        </w:tc>
        <w:tc>
          <w:tcPr>
            <w:tcW w:w="1363" w:type="pct"/>
          </w:tcPr>
          <w:p w:rsidR="00396C5A" w:rsidRPr="000E5398" w:rsidRDefault="00396C5A" w:rsidP="008404CF">
            <w:pPr>
              <w:jc w:val="center"/>
            </w:pPr>
            <w:r>
              <w:t>0.0147</w:t>
            </w:r>
            <w:r w:rsidRPr="000E5398">
              <w:t xml:space="preserve"> (kW/</w:t>
            </w:r>
            <w:proofErr w:type="spellStart"/>
            <w:r w:rsidRPr="000E5398">
              <w:t>ft</w:t>
            </w:r>
            <w:proofErr w:type="spellEnd"/>
            <w:r w:rsidRPr="000E5398">
              <w:t>)</w:t>
            </w:r>
            <w:r w:rsidRPr="000E5398">
              <w:rPr>
                <w:vertAlign w:val="superscript"/>
              </w:rPr>
              <w:t xml:space="preserve"> *</w:t>
            </w:r>
          </w:p>
        </w:tc>
        <w:tc>
          <w:tcPr>
            <w:tcW w:w="1363" w:type="pct"/>
          </w:tcPr>
          <w:p w:rsidR="00396C5A" w:rsidRPr="000E5398" w:rsidRDefault="00396C5A" w:rsidP="008B39DF">
            <w:pPr>
              <w:jc w:val="center"/>
            </w:pPr>
            <w:r>
              <w:t>0.01</w:t>
            </w:r>
            <w:r w:rsidR="008B39DF">
              <w:t>50</w:t>
            </w:r>
            <w:r w:rsidRPr="000E5398">
              <w:t xml:space="preserve"> (kW/</w:t>
            </w:r>
            <w:proofErr w:type="spellStart"/>
            <w:r w:rsidRPr="000E5398">
              <w:t>dr</w:t>
            </w:r>
            <w:proofErr w:type="spellEnd"/>
            <w:r w:rsidRPr="000E5398">
              <w:t>)</w:t>
            </w:r>
            <w:r w:rsidRPr="000E5398">
              <w:rPr>
                <w:vertAlign w:val="superscript"/>
              </w:rPr>
              <w:t xml:space="preserve"> </w:t>
            </w:r>
          </w:p>
        </w:tc>
      </w:tr>
      <w:tr w:rsidR="00396C5A" w:rsidRPr="00E95FA2" w:rsidTr="008404CF">
        <w:trPr>
          <w:cnfStyle w:val="000000010000" w:firstRow="0" w:lastRow="0" w:firstColumn="0" w:lastColumn="0" w:oddVBand="0" w:evenVBand="0" w:oddHBand="0" w:evenHBand="1" w:firstRowFirstColumn="0" w:firstRowLastColumn="0" w:lastRowFirstColumn="0" w:lastRowLastColumn="0"/>
        </w:trPr>
        <w:tc>
          <w:tcPr>
            <w:tcW w:w="2274" w:type="pct"/>
          </w:tcPr>
          <w:p w:rsidR="00396C5A" w:rsidRPr="000E5398" w:rsidRDefault="00396C5A" w:rsidP="008404CF">
            <w:r w:rsidRPr="000E5398">
              <w:t>Lighting Power</w:t>
            </w:r>
          </w:p>
        </w:tc>
        <w:tc>
          <w:tcPr>
            <w:tcW w:w="1363" w:type="pct"/>
          </w:tcPr>
          <w:p w:rsidR="00396C5A" w:rsidRPr="000E5398" w:rsidRDefault="00EA4162" w:rsidP="00EA4162">
            <w:pPr>
              <w:jc w:val="center"/>
            </w:pPr>
            <w:r>
              <w:t>0.0369</w:t>
            </w:r>
            <w:r w:rsidR="00396C5A" w:rsidRPr="000E5398">
              <w:t xml:space="preserve"> (kW/</w:t>
            </w:r>
            <w:proofErr w:type="spellStart"/>
            <w:r w:rsidR="00396C5A" w:rsidRPr="000E5398">
              <w:t>ft</w:t>
            </w:r>
            <w:proofErr w:type="spellEnd"/>
            <w:r w:rsidR="00396C5A" w:rsidRPr="000E5398">
              <w:t>)</w:t>
            </w:r>
            <w:r w:rsidR="00396C5A" w:rsidRPr="000E5398">
              <w:rPr>
                <w:vertAlign w:val="superscript"/>
              </w:rPr>
              <w:t xml:space="preserve"> *</w:t>
            </w:r>
          </w:p>
        </w:tc>
        <w:tc>
          <w:tcPr>
            <w:tcW w:w="1363" w:type="pct"/>
          </w:tcPr>
          <w:p w:rsidR="00396C5A" w:rsidRPr="000E5398" w:rsidRDefault="00396C5A" w:rsidP="008404CF">
            <w:pPr>
              <w:jc w:val="center"/>
            </w:pPr>
            <w:r w:rsidRPr="000E5398">
              <w:t>0.0</w:t>
            </w:r>
            <w:r>
              <w:t>2810</w:t>
            </w:r>
            <w:r w:rsidRPr="000E5398">
              <w:t xml:space="preserve"> (kW/</w:t>
            </w:r>
            <w:proofErr w:type="spellStart"/>
            <w:r w:rsidRPr="000E5398">
              <w:t>dr</w:t>
            </w:r>
            <w:proofErr w:type="spellEnd"/>
            <w:r w:rsidRPr="000E5398">
              <w:t>)</w:t>
            </w:r>
            <w:r w:rsidRPr="000E5398">
              <w:rPr>
                <w:vertAlign w:val="superscript"/>
              </w:rPr>
              <w:t xml:space="preserve"> </w:t>
            </w:r>
          </w:p>
        </w:tc>
      </w:tr>
      <w:tr w:rsidR="00396C5A" w:rsidRPr="00E95FA2" w:rsidTr="008404CF">
        <w:trPr>
          <w:cnfStyle w:val="000000100000" w:firstRow="0" w:lastRow="0" w:firstColumn="0" w:lastColumn="0" w:oddVBand="0" w:evenVBand="0" w:oddHBand="1" w:evenHBand="0" w:firstRowFirstColumn="0" w:firstRowLastColumn="0" w:lastRowFirstColumn="0" w:lastRowLastColumn="0"/>
        </w:trPr>
        <w:tc>
          <w:tcPr>
            <w:tcW w:w="2274" w:type="pct"/>
          </w:tcPr>
          <w:p w:rsidR="00396C5A" w:rsidRPr="000E5398" w:rsidRDefault="00396C5A" w:rsidP="008404CF">
            <w:r w:rsidRPr="000E5398">
              <w:t>Anti-Sweat Power</w:t>
            </w:r>
          </w:p>
        </w:tc>
        <w:tc>
          <w:tcPr>
            <w:tcW w:w="1363" w:type="pct"/>
          </w:tcPr>
          <w:p w:rsidR="00396C5A" w:rsidRPr="000E5398" w:rsidRDefault="00396C5A" w:rsidP="008404CF">
            <w:pPr>
              <w:jc w:val="center"/>
            </w:pPr>
            <w:r>
              <w:t>0.0000</w:t>
            </w:r>
            <w:r w:rsidRPr="000E5398">
              <w:t xml:space="preserve"> (kW/</w:t>
            </w:r>
            <w:proofErr w:type="spellStart"/>
            <w:r w:rsidRPr="000E5398">
              <w:t>ft</w:t>
            </w:r>
            <w:proofErr w:type="spellEnd"/>
            <w:r w:rsidRPr="000E5398">
              <w:t>)</w:t>
            </w:r>
          </w:p>
        </w:tc>
        <w:tc>
          <w:tcPr>
            <w:tcW w:w="1363" w:type="pct"/>
          </w:tcPr>
          <w:p w:rsidR="00396C5A" w:rsidRPr="000E5398" w:rsidRDefault="00396C5A" w:rsidP="008404CF">
            <w:pPr>
              <w:jc w:val="center"/>
            </w:pPr>
            <w:r>
              <w:t>0.01783</w:t>
            </w:r>
            <w:r w:rsidRPr="000E5398">
              <w:t xml:space="preserve"> (kW/</w:t>
            </w:r>
            <w:proofErr w:type="spellStart"/>
            <w:r w:rsidRPr="000E5398">
              <w:t>dr</w:t>
            </w:r>
            <w:proofErr w:type="spellEnd"/>
            <w:r w:rsidRPr="000E5398">
              <w:t>)</w:t>
            </w:r>
          </w:p>
        </w:tc>
      </w:tr>
      <w:tr w:rsidR="00396C5A" w:rsidRPr="00E95FA2" w:rsidTr="008404CF">
        <w:trPr>
          <w:cnfStyle w:val="000000010000" w:firstRow="0" w:lastRow="0" w:firstColumn="0" w:lastColumn="0" w:oddVBand="0" w:evenVBand="0" w:oddHBand="0" w:evenHBand="1" w:firstRowFirstColumn="0" w:firstRowLastColumn="0" w:lastRowFirstColumn="0" w:lastRowLastColumn="0"/>
        </w:trPr>
        <w:tc>
          <w:tcPr>
            <w:tcW w:w="2274" w:type="pct"/>
          </w:tcPr>
          <w:p w:rsidR="00396C5A" w:rsidRPr="000E5398" w:rsidRDefault="00396C5A" w:rsidP="008404CF">
            <w:r w:rsidRPr="000E5398">
              <w:t>Infiltration Load</w:t>
            </w:r>
          </w:p>
        </w:tc>
        <w:tc>
          <w:tcPr>
            <w:tcW w:w="1363" w:type="pct"/>
          </w:tcPr>
          <w:p w:rsidR="00396C5A" w:rsidRPr="000E5398" w:rsidRDefault="00396C5A" w:rsidP="008404CF">
            <w:pPr>
              <w:jc w:val="center"/>
            </w:pPr>
            <w:r>
              <w:t>1058</w:t>
            </w:r>
            <w:r w:rsidRPr="000E5398">
              <w:t xml:space="preserve"> (Btu/</w:t>
            </w:r>
            <w:proofErr w:type="spellStart"/>
            <w:r w:rsidRPr="000E5398">
              <w:t>hr-ft</w:t>
            </w:r>
            <w:proofErr w:type="spellEnd"/>
            <w:r w:rsidRPr="000E5398">
              <w:t>)</w:t>
            </w:r>
          </w:p>
        </w:tc>
        <w:tc>
          <w:tcPr>
            <w:tcW w:w="1363" w:type="pct"/>
          </w:tcPr>
          <w:p w:rsidR="00396C5A" w:rsidRPr="000E5398" w:rsidRDefault="00396C5A" w:rsidP="008404CF">
            <w:pPr>
              <w:jc w:val="center"/>
            </w:pPr>
            <w:r>
              <w:t>153</w:t>
            </w:r>
            <w:r w:rsidRPr="000E5398">
              <w:t>.</w:t>
            </w:r>
            <w:r>
              <w:t>33</w:t>
            </w:r>
            <w:r w:rsidRPr="000E5398">
              <w:t xml:space="preserve"> (Btu/</w:t>
            </w:r>
            <w:proofErr w:type="spellStart"/>
            <w:r w:rsidRPr="000E5398">
              <w:t>hr-dr</w:t>
            </w:r>
            <w:proofErr w:type="spellEnd"/>
            <w:r w:rsidRPr="000E5398">
              <w:t>)</w:t>
            </w:r>
          </w:p>
        </w:tc>
      </w:tr>
      <w:tr w:rsidR="00396C5A" w:rsidRPr="00E95FA2" w:rsidTr="008404CF">
        <w:trPr>
          <w:cnfStyle w:val="000000100000" w:firstRow="0" w:lastRow="0" w:firstColumn="0" w:lastColumn="0" w:oddVBand="0" w:evenVBand="0" w:oddHBand="1" w:evenHBand="0" w:firstRowFirstColumn="0" w:firstRowLastColumn="0" w:lastRowFirstColumn="0" w:lastRowLastColumn="0"/>
        </w:trPr>
        <w:tc>
          <w:tcPr>
            <w:tcW w:w="2274" w:type="pct"/>
          </w:tcPr>
          <w:p w:rsidR="00396C5A" w:rsidRPr="000E5398" w:rsidRDefault="00396C5A" w:rsidP="008404CF">
            <w:r w:rsidRPr="000E5398">
              <w:t>Conduction Load</w:t>
            </w:r>
          </w:p>
        </w:tc>
        <w:tc>
          <w:tcPr>
            <w:tcW w:w="1363" w:type="pct"/>
          </w:tcPr>
          <w:p w:rsidR="00396C5A" w:rsidRPr="000E5398" w:rsidRDefault="00396C5A" w:rsidP="008404CF">
            <w:pPr>
              <w:jc w:val="center"/>
            </w:pPr>
            <w:r>
              <w:t>77.8</w:t>
            </w:r>
            <w:r w:rsidRPr="000E5398">
              <w:t xml:space="preserve"> (Btu/</w:t>
            </w:r>
            <w:proofErr w:type="spellStart"/>
            <w:r w:rsidRPr="000E5398">
              <w:t>hr-ft</w:t>
            </w:r>
            <w:proofErr w:type="spellEnd"/>
            <w:r w:rsidRPr="000E5398">
              <w:t>)</w:t>
            </w:r>
            <w:r w:rsidRPr="000E5398">
              <w:rPr>
                <w:vertAlign w:val="superscript"/>
              </w:rPr>
              <w:t>*</w:t>
            </w:r>
          </w:p>
        </w:tc>
        <w:tc>
          <w:tcPr>
            <w:tcW w:w="1363" w:type="pct"/>
          </w:tcPr>
          <w:p w:rsidR="00396C5A" w:rsidRPr="000E5398" w:rsidRDefault="00396C5A" w:rsidP="008404CF">
            <w:pPr>
              <w:jc w:val="center"/>
            </w:pPr>
            <w:r>
              <w:t>273.33</w:t>
            </w:r>
            <w:r w:rsidRPr="000E5398">
              <w:t xml:space="preserve"> (Btu/</w:t>
            </w:r>
            <w:proofErr w:type="spellStart"/>
            <w:r w:rsidRPr="000E5398">
              <w:t>hr-dr</w:t>
            </w:r>
            <w:proofErr w:type="spellEnd"/>
            <w:r w:rsidRPr="000E5398">
              <w:t>)</w:t>
            </w:r>
          </w:p>
        </w:tc>
      </w:tr>
      <w:tr w:rsidR="00396C5A" w:rsidRPr="00E95FA2" w:rsidTr="008404CF">
        <w:trPr>
          <w:cnfStyle w:val="000000010000" w:firstRow="0" w:lastRow="0" w:firstColumn="0" w:lastColumn="0" w:oddVBand="0" w:evenVBand="0" w:oddHBand="0" w:evenHBand="1" w:firstRowFirstColumn="0" w:firstRowLastColumn="0" w:lastRowFirstColumn="0" w:lastRowLastColumn="0"/>
        </w:trPr>
        <w:tc>
          <w:tcPr>
            <w:tcW w:w="2274" w:type="pct"/>
          </w:tcPr>
          <w:p w:rsidR="00396C5A" w:rsidRPr="000E5398" w:rsidRDefault="00396C5A" w:rsidP="008404CF">
            <w:r w:rsidRPr="000E5398">
              <w:t>Total Line-Up Length</w:t>
            </w:r>
          </w:p>
        </w:tc>
        <w:tc>
          <w:tcPr>
            <w:tcW w:w="1363" w:type="pct"/>
          </w:tcPr>
          <w:p w:rsidR="00396C5A" w:rsidRPr="000E5398" w:rsidRDefault="00396C5A" w:rsidP="008404CF">
            <w:pPr>
              <w:jc w:val="center"/>
            </w:pPr>
            <w:r>
              <w:t>128</w:t>
            </w:r>
            <w:r w:rsidRPr="000E5398">
              <w:t xml:space="preserve"> (</w:t>
            </w:r>
            <w:proofErr w:type="spellStart"/>
            <w:r w:rsidRPr="000E5398">
              <w:t>ft</w:t>
            </w:r>
            <w:proofErr w:type="spellEnd"/>
            <w:r w:rsidRPr="000E5398">
              <w:t>)</w:t>
            </w:r>
          </w:p>
        </w:tc>
        <w:tc>
          <w:tcPr>
            <w:tcW w:w="1363" w:type="pct"/>
          </w:tcPr>
          <w:p w:rsidR="00396C5A" w:rsidRPr="000E5398" w:rsidRDefault="00396C5A" w:rsidP="008404CF">
            <w:pPr>
              <w:jc w:val="center"/>
            </w:pPr>
            <w:r>
              <w:t>50</w:t>
            </w:r>
            <w:r w:rsidRPr="000E5398">
              <w:t xml:space="preserve"> (doors)</w:t>
            </w:r>
          </w:p>
        </w:tc>
      </w:tr>
    </w:tbl>
    <w:p w:rsidR="00850F61" w:rsidRDefault="00850F61" w:rsidP="00FC6504">
      <w:pPr>
        <w:rPr>
          <w:highlight w:val="yellow"/>
        </w:rPr>
      </w:pPr>
    </w:p>
    <w:p w:rsidR="006870A5" w:rsidRDefault="007F19D5" w:rsidP="00553927">
      <w:pPr>
        <w:pStyle w:val="Caption"/>
      </w:pPr>
      <w:bookmarkStart w:id="49" w:name="_Toc386632089"/>
      <w:r w:rsidRPr="00682D3D">
        <w:t xml:space="preserve">Table </w:t>
      </w:r>
      <w:bookmarkEnd w:id="48"/>
      <w:r w:rsidR="00591A33">
        <w:t>6</w:t>
      </w:r>
      <w:r w:rsidR="006870A5" w:rsidRPr="00CF7037">
        <w:t xml:space="preserve"> Summary of Modeled Low Temperature Vertical Display Cases</w:t>
      </w:r>
      <w:bookmarkEnd w:id="49"/>
    </w:p>
    <w:p w:rsidR="00850F61" w:rsidRPr="00850F61" w:rsidRDefault="00850F61" w:rsidP="00850F61"/>
    <w:tbl>
      <w:tblPr>
        <w:tblStyle w:val="TableContemporary"/>
        <w:tblW w:w="4944" w:type="pct"/>
        <w:tblLook w:val="01E0" w:firstRow="1" w:lastRow="1" w:firstColumn="1" w:lastColumn="1" w:noHBand="0" w:noVBand="0"/>
      </w:tblPr>
      <w:tblGrid>
        <w:gridCol w:w="4307"/>
        <w:gridCol w:w="2581"/>
        <w:gridCol w:w="2581"/>
      </w:tblGrid>
      <w:tr w:rsidR="006870A5" w:rsidRPr="00E95FA2" w:rsidTr="007F4621">
        <w:trPr>
          <w:cnfStyle w:val="100000000000" w:firstRow="1" w:lastRow="0" w:firstColumn="0" w:lastColumn="0" w:oddVBand="0" w:evenVBand="0" w:oddHBand="0" w:evenHBand="0" w:firstRowFirstColumn="0" w:firstRowLastColumn="0" w:lastRowFirstColumn="0" w:lastRowLastColumn="0"/>
        </w:trPr>
        <w:tc>
          <w:tcPr>
            <w:tcW w:w="2274" w:type="pct"/>
          </w:tcPr>
          <w:p w:rsidR="006870A5" w:rsidRPr="000E5398" w:rsidRDefault="00A82820" w:rsidP="007631E2">
            <w:pPr>
              <w:jc w:val="center"/>
              <w:rPr>
                <w:b w:val="0"/>
                <w:bCs w:val="0"/>
                <w:highlight w:val="yellow"/>
              </w:rPr>
            </w:pPr>
            <w:r>
              <w:rPr>
                <w:b w:val="0"/>
                <w:bCs w:val="0"/>
              </w:rPr>
              <w:t>Componen</w:t>
            </w:r>
            <w:r w:rsidR="002E6A2F">
              <w:rPr>
                <w:b w:val="0"/>
                <w:bCs w:val="0"/>
              </w:rPr>
              <w:t>t</w:t>
            </w:r>
          </w:p>
        </w:tc>
        <w:tc>
          <w:tcPr>
            <w:tcW w:w="1363" w:type="pct"/>
          </w:tcPr>
          <w:p w:rsidR="006870A5" w:rsidRPr="000E5398" w:rsidRDefault="003410C8" w:rsidP="007631E2">
            <w:pPr>
              <w:jc w:val="center"/>
              <w:rPr>
                <w:b w:val="0"/>
                <w:bCs w:val="0"/>
              </w:rPr>
            </w:pPr>
            <w:r>
              <w:rPr>
                <w:b w:val="0"/>
                <w:bCs w:val="0"/>
              </w:rPr>
              <w:t>LOMD</w:t>
            </w:r>
            <w:r w:rsidR="0083561A" w:rsidRPr="0083561A">
              <w:rPr>
                <w:b w:val="0"/>
                <w:bCs w:val="0"/>
                <w:vertAlign w:val="superscript"/>
              </w:rPr>
              <w:t>3</w:t>
            </w:r>
            <w:r>
              <w:rPr>
                <w:b w:val="0"/>
                <w:bCs w:val="0"/>
              </w:rPr>
              <w:t xml:space="preserve"> </w:t>
            </w:r>
            <w:r w:rsidR="006870A5" w:rsidRPr="000E5398">
              <w:rPr>
                <w:b w:val="0"/>
                <w:bCs w:val="0"/>
              </w:rPr>
              <w:t>Values</w:t>
            </w:r>
            <w:r w:rsidR="00FF5DE2">
              <w:rPr>
                <w:b w:val="0"/>
                <w:bCs w:val="0"/>
              </w:rPr>
              <w:t>*</w:t>
            </w:r>
          </w:p>
          <w:p w:rsidR="006870A5" w:rsidRPr="000E5398" w:rsidRDefault="006870A5" w:rsidP="007631E2">
            <w:pPr>
              <w:jc w:val="center"/>
              <w:rPr>
                <w:b w:val="0"/>
                <w:bCs w:val="0"/>
                <w:highlight w:val="yellow"/>
              </w:rPr>
            </w:pPr>
            <w:r w:rsidRPr="000E5398">
              <w:rPr>
                <w:b w:val="0"/>
                <w:bCs w:val="0"/>
              </w:rPr>
              <w:t>(Baseline Model)</w:t>
            </w:r>
          </w:p>
        </w:tc>
        <w:tc>
          <w:tcPr>
            <w:tcW w:w="1363" w:type="pct"/>
          </w:tcPr>
          <w:p w:rsidR="006870A5" w:rsidRPr="000E5398" w:rsidRDefault="003410C8" w:rsidP="007631E2">
            <w:pPr>
              <w:jc w:val="center"/>
              <w:rPr>
                <w:b w:val="0"/>
                <w:bCs w:val="0"/>
              </w:rPr>
            </w:pPr>
            <w:r>
              <w:rPr>
                <w:b w:val="0"/>
                <w:bCs w:val="0"/>
              </w:rPr>
              <w:t>LRIMD</w:t>
            </w:r>
            <w:r w:rsidR="0083561A">
              <w:rPr>
                <w:b w:val="0"/>
                <w:bCs w:val="0"/>
                <w:vertAlign w:val="superscript"/>
              </w:rPr>
              <w:t>4</w:t>
            </w:r>
            <w:r>
              <w:rPr>
                <w:b w:val="0"/>
                <w:bCs w:val="0"/>
              </w:rPr>
              <w:t xml:space="preserve"> </w:t>
            </w:r>
            <w:r w:rsidR="006870A5" w:rsidRPr="000E5398">
              <w:rPr>
                <w:b w:val="0"/>
                <w:bCs w:val="0"/>
              </w:rPr>
              <w:t>Values</w:t>
            </w:r>
            <w:r w:rsidR="00FF5DE2">
              <w:rPr>
                <w:b w:val="0"/>
                <w:bCs w:val="0"/>
              </w:rPr>
              <w:t>*</w:t>
            </w:r>
          </w:p>
          <w:p w:rsidR="006870A5" w:rsidRPr="000E5398" w:rsidRDefault="006870A5" w:rsidP="007631E2">
            <w:pPr>
              <w:jc w:val="center"/>
              <w:rPr>
                <w:b w:val="0"/>
                <w:bCs w:val="0"/>
                <w:highlight w:val="yellow"/>
              </w:rPr>
            </w:pPr>
            <w:r w:rsidRPr="000E5398">
              <w:rPr>
                <w:b w:val="0"/>
                <w:bCs w:val="0"/>
              </w:rPr>
              <w:t>(Measure Model)</w:t>
            </w:r>
          </w:p>
        </w:tc>
      </w:tr>
      <w:tr w:rsidR="006870A5" w:rsidRPr="00E95FA2" w:rsidTr="007F4621">
        <w:trPr>
          <w:cnfStyle w:val="000000100000" w:firstRow="0" w:lastRow="0" w:firstColumn="0" w:lastColumn="0" w:oddVBand="0" w:evenVBand="0" w:oddHBand="1" w:evenHBand="0" w:firstRowFirstColumn="0" w:firstRowLastColumn="0" w:lastRowFirstColumn="0" w:lastRowLastColumn="0"/>
        </w:trPr>
        <w:tc>
          <w:tcPr>
            <w:tcW w:w="2274" w:type="pct"/>
          </w:tcPr>
          <w:p w:rsidR="006870A5" w:rsidRPr="000E5398" w:rsidRDefault="006870A5" w:rsidP="007631E2">
            <w:r w:rsidRPr="000E5398">
              <w:t>Evaporator Fan Power</w:t>
            </w:r>
          </w:p>
        </w:tc>
        <w:tc>
          <w:tcPr>
            <w:tcW w:w="1363" w:type="pct"/>
          </w:tcPr>
          <w:p w:rsidR="006870A5" w:rsidRPr="000E5398" w:rsidRDefault="00551110" w:rsidP="007631E2">
            <w:pPr>
              <w:jc w:val="center"/>
            </w:pPr>
            <w:r>
              <w:t>0.01788</w:t>
            </w:r>
            <w:r w:rsidR="006870A5" w:rsidRPr="000E5398">
              <w:t xml:space="preserve"> (kW/</w:t>
            </w:r>
            <w:proofErr w:type="spellStart"/>
            <w:r w:rsidR="006870A5" w:rsidRPr="000E5398">
              <w:t>ft</w:t>
            </w:r>
            <w:proofErr w:type="spellEnd"/>
            <w:r w:rsidR="006870A5" w:rsidRPr="000E5398">
              <w:t>)</w:t>
            </w:r>
            <w:r w:rsidR="006870A5" w:rsidRPr="000E5398">
              <w:rPr>
                <w:vertAlign w:val="superscript"/>
              </w:rPr>
              <w:t xml:space="preserve"> *</w:t>
            </w:r>
          </w:p>
        </w:tc>
        <w:tc>
          <w:tcPr>
            <w:tcW w:w="1363" w:type="pct"/>
          </w:tcPr>
          <w:p w:rsidR="006870A5" w:rsidRPr="000E5398" w:rsidRDefault="00927400" w:rsidP="00927400">
            <w:pPr>
              <w:jc w:val="center"/>
            </w:pPr>
            <w:r>
              <w:t>0.01976</w:t>
            </w:r>
            <w:r w:rsidR="006870A5" w:rsidRPr="000E5398">
              <w:t xml:space="preserve"> (kW/</w:t>
            </w:r>
            <w:proofErr w:type="spellStart"/>
            <w:r w:rsidR="006870A5" w:rsidRPr="000E5398">
              <w:t>dr</w:t>
            </w:r>
            <w:proofErr w:type="spellEnd"/>
            <w:r w:rsidR="006870A5" w:rsidRPr="000E5398">
              <w:t>)</w:t>
            </w:r>
            <w:r w:rsidR="006870A5" w:rsidRPr="000E5398">
              <w:rPr>
                <w:vertAlign w:val="superscript"/>
              </w:rPr>
              <w:t xml:space="preserve"> </w:t>
            </w:r>
          </w:p>
        </w:tc>
      </w:tr>
      <w:tr w:rsidR="006870A5" w:rsidRPr="00E95FA2" w:rsidTr="007F4621">
        <w:trPr>
          <w:cnfStyle w:val="000000010000" w:firstRow="0" w:lastRow="0" w:firstColumn="0" w:lastColumn="0" w:oddVBand="0" w:evenVBand="0" w:oddHBand="0" w:evenHBand="1" w:firstRowFirstColumn="0" w:firstRowLastColumn="0" w:lastRowFirstColumn="0" w:lastRowLastColumn="0"/>
        </w:trPr>
        <w:tc>
          <w:tcPr>
            <w:tcW w:w="2274" w:type="pct"/>
          </w:tcPr>
          <w:p w:rsidR="006870A5" w:rsidRPr="000E5398" w:rsidRDefault="006870A5" w:rsidP="007631E2">
            <w:r w:rsidRPr="000E5398">
              <w:t>Lighting Power</w:t>
            </w:r>
          </w:p>
        </w:tc>
        <w:tc>
          <w:tcPr>
            <w:tcW w:w="1363" w:type="pct"/>
          </w:tcPr>
          <w:p w:rsidR="006870A5" w:rsidRPr="000E5398" w:rsidRDefault="00551110" w:rsidP="001579EB">
            <w:pPr>
              <w:jc w:val="center"/>
            </w:pPr>
            <w:r>
              <w:t>0.0</w:t>
            </w:r>
            <w:r w:rsidR="001579EB">
              <w:t>179</w:t>
            </w:r>
            <w:r w:rsidR="006870A5" w:rsidRPr="000E5398">
              <w:t xml:space="preserve"> (kW/</w:t>
            </w:r>
            <w:proofErr w:type="spellStart"/>
            <w:r w:rsidR="006870A5" w:rsidRPr="000E5398">
              <w:t>ft</w:t>
            </w:r>
            <w:proofErr w:type="spellEnd"/>
            <w:r w:rsidR="006870A5" w:rsidRPr="000E5398">
              <w:t>)</w:t>
            </w:r>
            <w:r w:rsidR="006870A5" w:rsidRPr="000E5398">
              <w:rPr>
                <w:vertAlign w:val="superscript"/>
              </w:rPr>
              <w:t xml:space="preserve"> *</w:t>
            </w:r>
          </w:p>
        </w:tc>
        <w:tc>
          <w:tcPr>
            <w:tcW w:w="1363" w:type="pct"/>
          </w:tcPr>
          <w:p w:rsidR="006870A5" w:rsidRPr="000E5398" w:rsidRDefault="006870A5" w:rsidP="001579EB">
            <w:pPr>
              <w:jc w:val="center"/>
            </w:pPr>
            <w:r w:rsidRPr="000E5398">
              <w:t>0.0</w:t>
            </w:r>
            <w:r w:rsidR="001579EB">
              <w:t>478</w:t>
            </w:r>
            <w:r w:rsidRPr="000E5398">
              <w:t xml:space="preserve"> (kW/</w:t>
            </w:r>
            <w:proofErr w:type="spellStart"/>
            <w:r w:rsidRPr="000E5398">
              <w:t>dr</w:t>
            </w:r>
            <w:proofErr w:type="spellEnd"/>
            <w:r w:rsidRPr="000E5398">
              <w:t>)</w:t>
            </w:r>
            <w:r w:rsidRPr="000E5398">
              <w:rPr>
                <w:vertAlign w:val="superscript"/>
              </w:rPr>
              <w:t xml:space="preserve"> </w:t>
            </w:r>
          </w:p>
        </w:tc>
      </w:tr>
      <w:tr w:rsidR="006870A5" w:rsidRPr="00E95FA2" w:rsidTr="007F4621">
        <w:trPr>
          <w:cnfStyle w:val="000000100000" w:firstRow="0" w:lastRow="0" w:firstColumn="0" w:lastColumn="0" w:oddVBand="0" w:evenVBand="0" w:oddHBand="1" w:evenHBand="0" w:firstRowFirstColumn="0" w:firstRowLastColumn="0" w:lastRowFirstColumn="0" w:lastRowLastColumn="0"/>
        </w:trPr>
        <w:tc>
          <w:tcPr>
            <w:tcW w:w="2274" w:type="pct"/>
          </w:tcPr>
          <w:p w:rsidR="006870A5" w:rsidRPr="000E5398" w:rsidRDefault="006870A5" w:rsidP="007631E2">
            <w:r w:rsidRPr="000E5398">
              <w:t>Anti-Sweat Power</w:t>
            </w:r>
          </w:p>
        </w:tc>
        <w:tc>
          <w:tcPr>
            <w:tcW w:w="1363" w:type="pct"/>
          </w:tcPr>
          <w:p w:rsidR="006870A5" w:rsidRPr="000E5398" w:rsidRDefault="00551110" w:rsidP="007631E2">
            <w:pPr>
              <w:jc w:val="center"/>
            </w:pPr>
            <w:r>
              <w:t>0.04525</w:t>
            </w:r>
            <w:r w:rsidR="006870A5" w:rsidRPr="000E5398">
              <w:t xml:space="preserve"> (kW/</w:t>
            </w:r>
            <w:proofErr w:type="spellStart"/>
            <w:r w:rsidR="006870A5" w:rsidRPr="000E5398">
              <w:t>ft</w:t>
            </w:r>
            <w:proofErr w:type="spellEnd"/>
            <w:r w:rsidR="006870A5" w:rsidRPr="000E5398">
              <w:t>)</w:t>
            </w:r>
          </w:p>
        </w:tc>
        <w:tc>
          <w:tcPr>
            <w:tcW w:w="1363" w:type="pct"/>
          </w:tcPr>
          <w:p w:rsidR="006870A5" w:rsidRPr="000E5398" w:rsidRDefault="00927400" w:rsidP="007631E2">
            <w:pPr>
              <w:jc w:val="center"/>
            </w:pPr>
            <w:r>
              <w:t>0.09568</w:t>
            </w:r>
            <w:r w:rsidR="006870A5" w:rsidRPr="000E5398">
              <w:t xml:space="preserve"> (kW/</w:t>
            </w:r>
            <w:proofErr w:type="spellStart"/>
            <w:r w:rsidR="006870A5" w:rsidRPr="000E5398">
              <w:t>dr</w:t>
            </w:r>
            <w:proofErr w:type="spellEnd"/>
            <w:r w:rsidR="006870A5" w:rsidRPr="000E5398">
              <w:t>)</w:t>
            </w:r>
          </w:p>
        </w:tc>
      </w:tr>
      <w:tr w:rsidR="006870A5" w:rsidRPr="00E95FA2" w:rsidTr="007F4621">
        <w:trPr>
          <w:cnfStyle w:val="000000010000" w:firstRow="0" w:lastRow="0" w:firstColumn="0" w:lastColumn="0" w:oddVBand="0" w:evenVBand="0" w:oddHBand="0" w:evenHBand="1" w:firstRowFirstColumn="0" w:firstRowLastColumn="0" w:lastRowFirstColumn="0" w:lastRowLastColumn="0"/>
        </w:trPr>
        <w:tc>
          <w:tcPr>
            <w:tcW w:w="2274" w:type="pct"/>
          </w:tcPr>
          <w:p w:rsidR="006870A5" w:rsidRPr="000E5398" w:rsidRDefault="006870A5" w:rsidP="007631E2">
            <w:r w:rsidRPr="000E5398">
              <w:t>Infiltration Load</w:t>
            </w:r>
          </w:p>
        </w:tc>
        <w:tc>
          <w:tcPr>
            <w:tcW w:w="1363" w:type="pct"/>
          </w:tcPr>
          <w:p w:rsidR="006870A5" w:rsidRPr="000E5398" w:rsidRDefault="00551110" w:rsidP="007631E2">
            <w:pPr>
              <w:jc w:val="center"/>
            </w:pPr>
            <w:r>
              <w:t>1550</w:t>
            </w:r>
            <w:r w:rsidR="006870A5" w:rsidRPr="000E5398">
              <w:t xml:space="preserve"> (Btu/</w:t>
            </w:r>
            <w:proofErr w:type="spellStart"/>
            <w:r w:rsidR="006870A5" w:rsidRPr="000E5398">
              <w:t>hr-ft</w:t>
            </w:r>
            <w:proofErr w:type="spellEnd"/>
            <w:r w:rsidR="006870A5" w:rsidRPr="000E5398">
              <w:t>)</w:t>
            </w:r>
          </w:p>
        </w:tc>
        <w:tc>
          <w:tcPr>
            <w:tcW w:w="1363" w:type="pct"/>
          </w:tcPr>
          <w:p w:rsidR="006870A5" w:rsidRPr="000E5398" w:rsidRDefault="00927400" w:rsidP="00927400">
            <w:pPr>
              <w:jc w:val="center"/>
            </w:pPr>
            <w:r>
              <w:t>65</w:t>
            </w:r>
            <w:r w:rsidR="006870A5" w:rsidRPr="000E5398">
              <w:t>.</w:t>
            </w:r>
            <w:r>
              <w:t>84</w:t>
            </w:r>
            <w:r w:rsidR="006870A5" w:rsidRPr="000E5398">
              <w:t xml:space="preserve"> (Btu/</w:t>
            </w:r>
            <w:proofErr w:type="spellStart"/>
            <w:r w:rsidR="006870A5" w:rsidRPr="000E5398">
              <w:t>hr-dr</w:t>
            </w:r>
            <w:proofErr w:type="spellEnd"/>
            <w:r w:rsidR="006870A5" w:rsidRPr="000E5398">
              <w:t>)</w:t>
            </w:r>
          </w:p>
        </w:tc>
      </w:tr>
      <w:tr w:rsidR="006870A5" w:rsidRPr="00E95FA2" w:rsidTr="007F4621">
        <w:trPr>
          <w:cnfStyle w:val="000000100000" w:firstRow="0" w:lastRow="0" w:firstColumn="0" w:lastColumn="0" w:oddVBand="0" w:evenVBand="0" w:oddHBand="1" w:evenHBand="0" w:firstRowFirstColumn="0" w:firstRowLastColumn="0" w:lastRowFirstColumn="0" w:lastRowLastColumn="0"/>
        </w:trPr>
        <w:tc>
          <w:tcPr>
            <w:tcW w:w="2274" w:type="pct"/>
          </w:tcPr>
          <w:p w:rsidR="006870A5" w:rsidRPr="000E5398" w:rsidRDefault="006870A5" w:rsidP="007631E2">
            <w:r w:rsidRPr="000E5398">
              <w:t>Conduction Load</w:t>
            </w:r>
          </w:p>
        </w:tc>
        <w:tc>
          <w:tcPr>
            <w:tcW w:w="1363" w:type="pct"/>
          </w:tcPr>
          <w:p w:rsidR="006870A5" w:rsidRPr="000E5398" w:rsidRDefault="00551110" w:rsidP="007631E2">
            <w:pPr>
              <w:jc w:val="center"/>
            </w:pPr>
            <w:r>
              <w:t>325</w:t>
            </w:r>
            <w:r w:rsidR="006870A5" w:rsidRPr="000E5398">
              <w:t xml:space="preserve"> (Btu/</w:t>
            </w:r>
            <w:proofErr w:type="spellStart"/>
            <w:r w:rsidR="006870A5" w:rsidRPr="000E5398">
              <w:t>hr-ft</w:t>
            </w:r>
            <w:proofErr w:type="spellEnd"/>
            <w:r w:rsidR="006870A5" w:rsidRPr="000E5398">
              <w:t>)</w:t>
            </w:r>
            <w:r w:rsidR="006870A5" w:rsidRPr="000E5398">
              <w:rPr>
                <w:vertAlign w:val="superscript"/>
              </w:rPr>
              <w:t>*</w:t>
            </w:r>
          </w:p>
        </w:tc>
        <w:tc>
          <w:tcPr>
            <w:tcW w:w="1363" w:type="pct"/>
          </w:tcPr>
          <w:p w:rsidR="006870A5" w:rsidRPr="000E5398" w:rsidRDefault="006870A5" w:rsidP="007631E2">
            <w:pPr>
              <w:jc w:val="center"/>
            </w:pPr>
            <w:r w:rsidRPr="000E5398">
              <w:t>600 (Btu/</w:t>
            </w:r>
            <w:proofErr w:type="spellStart"/>
            <w:r w:rsidRPr="000E5398">
              <w:t>hr-dr</w:t>
            </w:r>
            <w:proofErr w:type="spellEnd"/>
            <w:r w:rsidRPr="000E5398">
              <w:t>)</w:t>
            </w:r>
          </w:p>
        </w:tc>
      </w:tr>
      <w:tr w:rsidR="006870A5" w:rsidRPr="00E95FA2" w:rsidTr="007F4621">
        <w:trPr>
          <w:cnfStyle w:val="000000010000" w:firstRow="0" w:lastRow="0" w:firstColumn="0" w:lastColumn="0" w:oddVBand="0" w:evenVBand="0" w:oddHBand="0" w:evenHBand="1" w:firstRowFirstColumn="0" w:firstRowLastColumn="0" w:lastRowFirstColumn="0" w:lastRowLastColumn="0"/>
        </w:trPr>
        <w:tc>
          <w:tcPr>
            <w:tcW w:w="2274" w:type="pct"/>
          </w:tcPr>
          <w:p w:rsidR="006870A5" w:rsidRPr="000E5398" w:rsidRDefault="00D0764C" w:rsidP="007631E2">
            <w:r w:rsidRPr="000E5398">
              <w:t xml:space="preserve">Total </w:t>
            </w:r>
            <w:r w:rsidR="006870A5" w:rsidRPr="000E5398">
              <w:t>Line-Up Length</w:t>
            </w:r>
          </w:p>
        </w:tc>
        <w:tc>
          <w:tcPr>
            <w:tcW w:w="1363" w:type="pct"/>
          </w:tcPr>
          <w:p w:rsidR="006870A5" w:rsidRPr="000E5398" w:rsidRDefault="008A6B08" w:rsidP="007631E2">
            <w:pPr>
              <w:jc w:val="center"/>
            </w:pPr>
            <w:r>
              <w:t>283</w:t>
            </w:r>
            <w:r w:rsidR="006870A5" w:rsidRPr="000E5398">
              <w:t xml:space="preserve"> (</w:t>
            </w:r>
            <w:proofErr w:type="spellStart"/>
            <w:r w:rsidR="006870A5" w:rsidRPr="000E5398">
              <w:t>ft</w:t>
            </w:r>
            <w:proofErr w:type="spellEnd"/>
            <w:r w:rsidR="006870A5" w:rsidRPr="000E5398">
              <w:t>)</w:t>
            </w:r>
          </w:p>
        </w:tc>
        <w:tc>
          <w:tcPr>
            <w:tcW w:w="1363" w:type="pct"/>
          </w:tcPr>
          <w:p w:rsidR="006870A5" w:rsidRPr="000E5398" w:rsidRDefault="006870A5" w:rsidP="007631E2">
            <w:pPr>
              <w:jc w:val="center"/>
            </w:pPr>
            <w:r w:rsidRPr="000E5398">
              <w:t>109 (doors)</w:t>
            </w:r>
          </w:p>
        </w:tc>
      </w:tr>
    </w:tbl>
    <w:p w:rsidR="004B1950" w:rsidRPr="00850F61" w:rsidRDefault="00396C5A" w:rsidP="00396C5A">
      <w:pPr>
        <w:rPr>
          <w:sz w:val="18"/>
          <w:szCs w:val="18"/>
        </w:rPr>
      </w:pPr>
      <w:r w:rsidRPr="00850F61">
        <w:rPr>
          <w:sz w:val="18"/>
          <w:szCs w:val="18"/>
        </w:rPr>
        <w:t xml:space="preserve">* Values represent the average across cases. For specific keyword changes and values see </w:t>
      </w:r>
      <w:r w:rsidR="00302633" w:rsidRPr="00850F61">
        <w:rPr>
          <w:sz w:val="18"/>
          <w:szCs w:val="18"/>
        </w:rPr>
        <w:t>a</w:t>
      </w:r>
      <w:r w:rsidR="00A96883" w:rsidRPr="00850F61">
        <w:rPr>
          <w:sz w:val="18"/>
          <w:szCs w:val="18"/>
        </w:rPr>
        <w:t>ttachment</w:t>
      </w:r>
      <w:r w:rsidR="00302633" w:rsidRPr="00850F61">
        <w:rPr>
          <w:sz w:val="18"/>
          <w:szCs w:val="18"/>
        </w:rPr>
        <w:t xml:space="preserve"> </w:t>
      </w:r>
      <w:r w:rsidR="00C32F6B">
        <w:rPr>
          <w:sz w:val="18"/>
          <w:szCs w:val="18"/>
        </w:rPr>
        <w:t>E</w:t>
      </w:r>
      <w:r w:rsidR="00A96883" w:rsidRPr="00850F61">
        <w:rPr>
          <w:sz w:val="18"/>
          <w:szCs w:val="18"/>
        </w:rPr>
        <w:t xml:space="preserve"> “keyword changes”</w:t>
      </w:r>
      <w:r w:rsidRPr="00850F61">
        <w:rPr>
          <w:sz w:val="18"/>
          <w:szCs w:val="18"/>
        </w:rPr>
        <w:t>.</w:t>
      </w:r>
      <w:r w:rsidR="004B1950" w:rsidRPr="00850F61">
        <w:rPr>
          <w:sz w:val="18"/>
          <w:szCs w:val="18"/>
        </w:rPr>
        <w:t xml:space="preserve"> </w:t>
      </w:r>
    </w:p>
    <w:p w:rsidR="0083561A" w:rsidRPr="00850F61" w:rsidRDefault="0083561A" w:rsidP="00396C5A">
      <w:pPr>
        <w:rPr>
          <w:sz w:val="18"/>
          <w:szCs w:val="18"/>
        </w:rPr>
      </w:pPr>
      <w:r w:rsidRPr="00850F61">
        <w:rPr>
          <w:sz w:val="18"/>
          <w:szCs w:val="18"/>
          <w:vertAlign w:val="superscript"/>
        </w:rPr>
        <w:t xml:space="preserve">1 </w:t>
      </w:r>
      <w:r w:rsidRPr="00850F61">
        <w:rPr>
          <w:sz w:val="18"/>
          <w:szCs w:val="18"/>
        </w:rPr>
        <w:t>Medium Temperature Open Multi Deck</w:t>
      </w:r>
    </w:p>
    <w:p w:rsidR="0083561A" w:rsidRPr="00850F61" w:rsidRDefault="0083561A" w:rsidP="00396C5A">
      <w:pPr>
        <w:rPr>
          <w:sz w:val="18"/>
          <w:szCs w:val="18"/>
        </w:rPr>
      </w:pPr>
      <w:r w:rsidRPr="00850F61">
        <w:rPr>
          <w:sz w:val="18"/>
          <w:szCs w:val="18"/>
          <w:vertAlign w:val="superscript"/>
        </w:rPr>
        <w:t>2</w:t>
      </w:r>
      <w:r w:rsidRPr="00850F61">
        <w:rPr>
          <w:sz w:val="18"/>
          <w:szCs w:val="18"/>
        </w:rPr>
        <w:t>Medium Temperature Reach in Multi Deck</w:t>
      </w:r>
    </w:p>
    <w:p w:rsidR="0083561A" w:rsidRPr="00850F61" w:rsidRDefault="0083561A" w:rsidP="00396C5A">
      <w:pPr>
        <w:rPr>
          <w:sz w:val="18"/>
          <w:szCs w:val="18"/>
        </w:rPr>
      </w:pPr>
      <w:r w:rsidRPr="00850F61">
        <w:rPr>
          <w:sz w:val="18"/>
          <w:szCs w:val="18"/>
          <w:vertAlign w:val="superscript"/>
        </w:rPr>
        <w:t>3</w:t>
      </w:r>
      <w:r w:rsidRPr="00850F61">
        <w:rPr>
          <w:sz w:val="18"/>
          <w:szCs w:val="18"/>
        </w:rPr>
        <w:t>Low Temperature Open Multi Deck</w:t>
      </w:r>
    </w:p>
    <w:p w:rsidR="0083561A" w:rsidRPr="00850F61" w:rsidRDefault="0083561A" w:rsidP="00396C5A">
      <w:pPr>
        <w:rPr>
          <w:sz w:val="18"/>
          <w:szCs w:val="18"/>
        </w:rPr>
      </w:pPr>
      <w:r w:rsidRPr="00850F61">
        <w:rPr>
          <w:sz w:val="18"/>
          <w:szCs w:val="18"/>
          <w:vertAlign w:val="superscript"/>
        </w:rPr>
        <w:t>4</w:t>
      </w:r>
      <w:r w:rsidRPr="00850F61">
        <w:rPr>
          <w:sz w:val="18"/>
          <w:szCs w:val="18"/>
        </w:rPr>
        <w:t>Low Temperature Reach in Multi Deck</w:t>
      </w:r>
    </w:p>
    <w:p w:rsidR="00897B5F" w:rsidRPr="00E95FA2" w:rsidRDefault="00897B5F" w:rsidP="006870A5">
      <w:pPr>
        <w:rPr>
          <w:color w:val="FF0000"/>
        </w:rPr>
      </w:pPr>
    </w:p>
    <w:p w:rsidR="00B76AB3" w:rsidRPr="007D5F29" w:rsidRDefault="006870A5" w:rsidP="00B76AB3">
      <w:r w:rsidRPr="007D5F29">
        <w:t xml:space="preserve">Once the base case and measure case model simulations were completed, the energy savings and demand reduction could be determined. </w:t>
      </w:r>
      <w:r w:rsidRPr="002164A5">
        <w:t xml:space="preserve">Comparing the total energy consumption (electricity and natural gas) of both models, the total energy savings were </w:t>
      </w:r>
      <w:r w:rsidR="00C87648" w:rsidRPr="002164A5">
        <w:t>calculated</w:t>
      </w:r>
      <w:r w:rsidRPr="002164A5">
        <w:t>.</w:t>
      </w:r>
      <w:r w:rsidRPr="007D5F29">
        <w:t xml:space="preserve"> </w:t>
      </w:r>
      <w:r w:rsidR="00AE2EA8">
        <w:t xml:space="preserve">The specific savings </w:t>
      </w:r>
      <w:r w:rsidR="002164A5">
        <w:t xml:space="preserve">and hourly data </w:t>
      </w:r>
      <w:r w:rsidR="00AE2EA8">
        <w:t>for both the LT and MT meas</w:t>
      </w:r>
      <w:r w:rsidR="00C32F6B">
        <w:t>ure can be seen in attachments F “LT Results” and G</w:t>
      </w:r>
      <w:r w:rsidR="00AE2EA8">
        <w:t xml:space="preserve"> “MT Results” respectively. </w:t>
      </w:r>
      <w:r w:rsidRPr="007D5F29">
        <w:t>The unit energy savings, in kWh/</w:t>
      </w:r>
      <w:proofErr w:type="spellStart"/>
      <w:r w:rsidRPr="007D5F29">
        <w:t>yr-ft</w:t>
      </w:r>
      <w:proofErr w:type="spellEnd"/>
      <w:r w:rsidRPr="007D5F29">
        <w:t xml:space="preserve"> for electricity and </w:t>
      </w:r>
      <w:proofErr w:type="spellStart"/>
      <w:r w:rsidRPr="007D5F29">
        <w:t>therm</w:t>
      </w:r>
      <w:proofErr w:type="spellEnd"/>
      <w:r w:rsidRPr="007D5F29">
        <w:t>/</w:t>
      </w:r>
      <w:proofErr w:type="spellStart"/>
      <w:r w:rsidRPr="007D5F29">
        <w:t>yr-ft</w:t>
      </w:r>
      <w:proofErr w:type="spellEnd"/>
      <w:r w:rsidRPr="007D5F29">
        <w:rPr>
          <w:vertAlign w:val="superscript"/>
        </w:rPr>
        <w:t xml:space="preserve"> </w:t>
      </w:r>
      <w:r w:rsidRPr="007D5F29">
        <w:t>for natural gas, were calculated by dividing the total energy savings by the total line-up length of the display cases.</w:t>
      </w:r>
      <w:r w:rsidR="00A01F4F">
        <w:t xml:space="preserve"> Dividing the length of cases by the number of doors in the DEER grocery prototype yield</w:t>
      </w:r>
      <w:r w:rsidR="00F12DDB">
        <w:t>ed</w:t>
      </w:r>
      <w:r w:rsidR="00A01F4F">
        <w:t xml:space="preserve"> an approximate unit </w:t>
      </w:r>
      <w:r w:rsidR="00982540">
        <w:t>door length of 2.6</w:t>
      </w:r>
      <w:r w:rsidR="00BF7FF2">
        <w:t>7</w:t>
      </w:r>
      <w:r w:rsidR="00982540">
        <w:t xml:space="preserve"> </w:t>
      </w:r>
      <w:proofErr w:type="spellStart"/>
      <w:r w:rsidR="00982540">
        <w:t>ft</w:t>
      </w:r>
      <w:proofErr w:type="spellEnd"/>
      <w:r w:rsidR="00982540">
        <w:t xml:space="preserve"> per door.</w:t>
      </w:r>
      <w:r w:rsidR="00861D12">
        <w:t xml:space="preserve"> </w:t>
      </w:r>
    </w:p>
    <w:p w:rsidR="006870A5" w:rsidRPr="007D5F29" w:rsidRDefault="006870A5" w:rsidP="006870A5"/>
    <w:p w:rsidR="005877A2" w:rsidRDefault="008B780D" w:rsidP="005E0F89">
      <w:r w:rsidRPr="0039760D">
        <w:t>B</w:t>
      </w:r>
      <w:r w:rsidR="00943B87" w:rsidRPr="0039760D">
        <w:t xml:space="preserve">y utilizing </w:t>
      </w:r>
      <w:proofErr w:type="spellStart"/>
      <w:r w:rsidRPr="0039760D">
        <w:t>eQ</w:t>
      </w:r>
      <w:r w:rsidR="00B21543">
        <w:t>UEST’s</w:t>
      </w:r>
      <w:proofErr w:type="spellEnd"/>
      <w:r w:rsidR="006870A5" w:rsidRPr="0039760D">
        <w:t xml:space="preserve"> hourly report</w:t>
      </w:r>
      <w:r w:rsidRPr="0039760D">
        <w:t xml:space="preserve"> fu</w:t>
      </w:r>
      <w:r w:rsidR="00340AEF" w:rsidRPr="0039760D">
        <w:t>n</w:t>
      </w:r>
      <w:r w:rsidRPr="0039760D">
        <w:t>ction</w:t>
      </w:r>
      <w:r w:rsidR="006870A5" w:rsidRPr="0039760D">
        <w:t xml:space="preserve">, the </w:t>
      </w:r>
      <w:r w:rsidR="002415D3" w:rsidRPr="0039760D">
        <w:t>average</w:t>
      </w:r>
      <w:r w:rsidR="006870A5" w:rsidRPr="0039760D">
        <w:t xml:space="preserve"> peak demand outputs were </w:t>
      </w:r>
      <w:r w:rsidR="00446A3A" w:rsidRPr="0039760D">
        <w:t>calculated based on</w:t>
      </w:r>
      <w:r w:rsidR="006870A5" w:rsidRPr="0039760D">
        <w:t xml:space="preserve"> the </w:t>
      </w:r>
      <w:r w:rsidR="004B7B33" w:rsidRPr="0039760D">
        <w:t>CPUC</w:t>
      </w:r>
      <w:r w:rsidR="006870A5" w:rsidRPr="0039760D">
        <w:t xml:space="preserve"> defined peak demand </w:t>
      </w:r>
      <w:r w:rsidR="00011D07" w:rsidRPr="0039760D">
        <w:t xml:space="preserve">periods specific to </w:t>
      </w:r>
      <w:r w:rsidR="00861D12" w:rsidRPr="0039760D">
        <w:t>each</w:t>
      </w:r>
      <w:r w:rsidR="00011D07" w:rsidRPr="0039760D">
        <w:t xml:space="preserve"> climate zone</w:t>
      </w:r>
      <w:r w:rsidR="00011D07">
        <w:t>.</w:t>
      </w:r>
      <w:r w:rsidR="0039760D">
        <w:t xml:space="preserve"> </w:t>
      </w:r>
      <w:r w:rsidR="00D51CDF">
        <w:t>The peak</w:t>
      </w:r>
      <w:r w:rsidR="0039760D">
        <w:t xml:space="preserve"> hours </w:t>
      </w:r>
      <w:r w:rsidR="00D51CDF">
        <w:t xml:space="preserve">can be </w:t>
      </w:r>
      <w:r w:rsidR="0039760D">
        <w:t>see</w:t>
      </w:r>
      <w:r w:rsidR="00D51CDF">
        <w:t>n in</w:t>
      </w:r>
      <w:r w:rsidR="00E135DE">
        <w:t xml:space="preserve"> Attachment I</w:t>
      </w:r>
      <w:r w:rsidR="0039760D">
        <w:t xml:space="preserve"> “</w:t>
      </w:r>
      <w:r w:rsidR="0039760D" w:rsidRPr="0039760D">
        <w:t>DEER 2014 Peak Demand Hours by Climate Zone</w:t>
      </w:r>
      <w:r w:rsidR="0039760D">
        <w:t xml:space="preserve">”. </w:t>
      </w:r>
      <w:r w:rsidR="006870A5" w:rsidRPr="007D5F29">
        <w:t>Similar to the energy savings the unit demand reduction, in kW/</w:t>
      </w:r>
      <w:proofErr w:type="spellStart"/>
      <w:r w:rsidR="006870A5" w:rsidRPr="007D5F29">
        <w:t>ft</w:t>
      </w:r>
      <w:proofErr w:type="spellEnd"/>
      <w:r w:rsidR="006870A5" w:rsidRPr="007D5F29">
        <w:t>, was calculated by dividing the total demand reduction by the total line-u</w:t>
      </w:r>
      <w:r w:rsidR="005E0F89">
        <w:t>p length of the display cases.</w:t>
      </w:r>
      <w:r w:rsidR="00E56C0E">
        <w:t xml:space="preserve"> </w:t>
      </w:r>
      <w:r w:rsidR="00A11434">
        <w:t>All simulations were run using weather files adopted by the 2013 update of Title-24.</w:t>
      </w:r>
      <w:r w:rsidR="00E56C0E">
        <w:t xml:space="preserve"> </w:t>
      </w:r>
    </w:p>
    <w:p w:rsidR="0040412B" w:rsidRDefault="0040412B" w:rsidP="005E0F89"/>
    <w:p w:rsidR="0040412B" w:rsidRDefault="0040412B" w:rsidP="0040412B">
      <w:pPr>
        <w:pStyle w:val="Heading2"/>
        <w:keepNext w:val="0"/>
      </w:pPr>
      <w:bookmarkStart w:id="50" w:name="_Toc304800212"/>
      <w:bookmarkStart w:id="51" w:name="_Toc324318366"/>
      <w:bookmarkStart w:id="52" w:name="_Toc324340495"/>
      <w:bookmarkStart w:id="53" w:name="_Toc383442000"/>
      <w:bookmarkStart w:id="54" w:name="_Toc386465498"/>
      <w:r>
        <w:t>2.2. Demand Reduction Estimation Methodologies</w:t>
      </w:r>
      <w:bookmarkEnd w:id="50"/>
      <w:bookmarkEnd w:id="51"/>
      <w:bookmarkEnd w:id="52"/>
      <w:bookmarkEnd w:id="53"/>
      <w:bookmarkEnd w:id="54"/>
    </w:p>
    <w:p w:rsidR="0040412B" w:rsidRDefault="0040412B" w:rsidP="005E0F89"/>
    <w:p w:rsidR="000F561E" w:rsidRDefault="000F561E" w:rsidP="005E0F89">
      <w:proofErr w:type="spellStart"/>
      <w:proofErr w:type="gramStart"/>
      <w:r>
        <w:t>eQUEST</w:t>
      </w:r>
      <w:proofErr w:type="spellEnd"/>
      <w:proofErr w:type="gramEnd"/>
      <w:r>
        <w:t xml:space="preserve"> hourly reports were used to determine the peak demand values for the baseline and post-retrofit energy models. These hourly reports can be viewed in detail in attachments F and G. The difference between these two values is determined to be the peak demand savings for this measure.</w:t>
      </w:r>
      <w:r w:rsidR="00EB78C3">
        <w:t xml:space="preserve"> Demand savings include interactive effects between the refrigeration and HVAC system.</w:t>
      </w:r>
      <w:r>
        <w:t xml:space="preserve"> The specific peak demand period was defined by the DEER 2014 Update and uses updated Title 24 Weather Files. This period was chosen based on the following criteria:</w:t>
      </w:r>
    </w:p>
    <w:p w:rsidR="000F561E" w:rsidRDefault="000F561E" w:rsidP="005E0F89"/>
    <w:p w:rsidR="000F561E" w:rsidRDefault="000F561E" w:rsidP="000F561E">
      <w:pPr>
        <w:pStyle w:val="ListParagraph"/>
        <w:numPr>
          <w:ilvl w:val="0"/>
          <w:numId w:val="28"/>
        </w:numPr>
      </w:pPr>
      <w:r>
        <w:t>Occurs between June 1</w:t>
      </w:r>
      <w:r w:rsidRPr="000F561E">
        <w:rPr>
          <w:vertAlign w:val="superscript"/>
        </w:rPr>
        <w:t>st</w:t>
      </w:r>
      <w:r>
        <w:t xml:space="preserve"> and September 30</w:t>
      </w:r>
      <w:r w:rsidRPr="000F561E">
        <w:rPr>
          <w:vertAlign w:val="superscript"/>
        </w:rPr>
        <w:t>th</w:t>
      </w:r>
    </w:p>
    <w:p w:rsidR="000F561E" w:rsidRDefault="000F561E" w:rsidP="000F561E">
      <w:pPr>
        <w:pStyle w:val="ListParagraph"/>
        <w:numPr>
          <w:ilvl w:val="0"/>
          <w:numId w:val="28"/>
        </w:numPr>
      </w:pPr>
      <w:r>
        <w:t>Does not include weekends or holidays</w:t>
      </w:r>
    </w:p>
    <w:p w:rsidR="000F561E" w:rsidRDefault="000F561E" w:rsidP="000F561E">
      <w:pPr>
        <w:pStyle w:val="ListParagraph"/>
        <w:numPr>
          <w:ilvl w:val="0"/>
          <w:numId w:val="28"/>
        </w:numPr>
      </w:pPr>
      <w:r>
        <w:t>Has the highest value for</w:t>
      </w:r>
    </w:p>
    <w:p w:rsidR="000F561E" w:rsidRDefault="000F561E" w:rsidP="000F561E">
      <w:pPr>
        <w:pStyle w:val="ListParagraph"/>
        <w:numPr>
          <w:ilvl w:val="1"/>
          <w:numId w:val="28"/>
        </w:numPr>
      </w:pPr>
      <w:r>
        <w:t>Average temperature over the three day period</w:t>
      </w:r>
    </w:p>
    <w:p w:rsidR="000F561E" w:rsidRDefault="000F561E" w:rsidP="000F561E">
      <w:pPr>
        <w:pStyle w:val="ListParagraph"/>
        <w:numPr>
          <w:ilvl w:val="1"/>
          <w:numId w:val="28"/>
        </w:numPr>
      </w:pPr>
      <w:r>
        <w:t>The average temperature from noon to 6 p.m. over the three period</w:t>
      </w:r>
    </w:p>
    <w:p w:rsidR="000F561E" w:rsidRDefault="000F561E" w:rsidP="000F561E">
      <w:pPr>
        <w:pStyle w:val="ListParagraph"/>
        <w:numPr>
          <w:ilvl w:val="1"/>
          <w:numId w:val="28"/>
        </w:numPr>
      </w:pPr>
      <w:r>
        <w:t>The peak temperature over the three day period</w:t>
      </w:r>
    </w:p>
    <w:p w:rsidR="000F561E" w:rsidRDefault="000F561E" w:rsidP="000F561E"/>
    <w:p w:rsidR="00EB78C3" w:rsidRDefault="000F561E" w:rsidP="000F561E">
      <w:r>
        <w:t>The following table illustrates the specific periods that were used for the hourly report calculations</w:t>
      </w:r>
      <w:r w:rsidR="00EB78C3">
        <w:t>.</w:t>
      </w:r>
    </w:p>
    <w:p w:rsidR="00EB78C3" w:rsidRDefault="00EB78C3" w:rsidP="000F561E"/>
    <w:p w:rsidR="00EB78C3" w:rsidRDefault="00EB78C3" w:rsidP="00591A33">
      <w:pPr>
        <w:pStyle w:val="Caption"/>
      </w:pPr>
      <w:r>
        <w:tab/>
      </w:r>
      <w:bookmarkStart w:id="55" w:name="_Toc386632090"/>
      <w:r w:rsidR="00591A33" w:rsidRPr="00682D3D">
        <w:t xml:space="preserve">Table </w:t>
      </w:r>
      <w:r w:rsidR="00591A33">
        <w:t>7</w:t>
      </w:r>
      <w:r w:rsidR="00591A33" w:rsidRPr="00CF7037">
        <w:t xml:space="preserve"> </w:t>
      </w:r>
      <w:r w:rsidR="005F544A">
        <w:t>Hour Specifications for Peak Demand Calculations</w:t>
      </w:r>
      <w:bookmarkEnd w:id="55"/>
    </w:p>
    <w:p w:rsidR="00EB78C3" w:rsidRDefault="00EB78C3" w:rsidP="00EB78C3">
      <w:pPr>
        <w:pStyle w:val="Caption"/>
        <w:keepNext/>
      </w:pPr>
    </w:p>
    <w:tbl>
      <w:tblPr>
        <w:tblStyle w:val="TableContemporary"/>
        <w:tblW w:w="8480" w:type="dxa"/>
        <w:jc w:val="center"/>
        <w:tblLook w:val="04A0" w:firstRow="1" w:lastRow="0" w:firstColumn="1" w:lastColumn="0" w:noHBand="0" w:noVBand="1"/>
      </w:tblPr>
      <w:tblGrid>
        <w:gridCol w:w="960"/>
        <w:gridCol w:w="1440"/>
        <w:gridCol w:w="1160"/>
        <w:gridCol w:w="1360"/>
        <w:gridCol w:w="1120"/>
        <w:gridCol w:w="1260"/>
        <w:gridCol w:w="1180"/>
      </w:tblGrid>
      <w:tr w:rsidR="00EB78C3" w:rsidRPr="00EB78C3" w:rsidTr="00EB78C3">
        <w:trPr>
          <w:cnfStyle w:val="100000000000" w:firstRow="1" w:lastRow="0" w:firstColumn="0" w:lastColumn="0" w:oddVBand="0" w:evenVBand="0" w:oddHBand="0" w:evenHBand="0" w:firstRowFirstColumn="0" w:firstRowLastColumn="0" w:lastRowFirstColumn="0" w:lastRowLastColumn="0"/>
          <w:trHeight w:val="315"/>
          <w:jc w:val="center"/>
        </w:trPr>
        <w:tc>
          <w:tcPr>
            <w:tcW w:w="960" w:type="dxa"/>
            <w:hideMark/>
          </w:tcPr>
          <w:p w:rsidR="00EB78C3" w:rsidRPr="00EB78C3" w:rsidRDefault="00EB78C3" w:rsidP="00EB78C3">
            <w:pPr>
              <w:jc w:val="center"/>
            </w:pPr>
            <w:r w:rsidRPr="00EB78C3">
              <w:t>CZ</w:t>
            </w:r>
          </w:p>
        </w:tc>
        <w:tc>
          <w:tcPr>
            <w:tcW w:w="1440" w:type="dxa"/>
            <w:hideMark/>
          </w:tcPr>
          <w:p w:rsidR="00EB78C3" w:rsidRPr="00EB78C3" w:rsidRDefault="00EB78C3" w:rsidP="00EB78C3">
            <w:pPr>
              <w:jc w:val="center"/>
            </w:pPr>
            <w:r w:rsidRPr="00EB78C3">
              <w:t>Start Month</w:t>
            </w:r>
          </w:p>
        </w:tc>
        <w:tc>
          <w:tcPr>
            <w:tcW w:w="1160" w:type="dxa"/>
            <w:hideMark/>
          </w:tcPr>
          <w:p w:rsidR="00EB78C3" w:rsidRPr="00EB78C3" w:rsidRDefault="00EB78C3" w:rsidP="00EB78C3">
            <w:pPr>
              <w:jc w:val="center"/>
            </w:pPr>
            <w:r w:rsidRPr="00EB78C3">
              <w:t>Start Day</w:t>
            </w:r>
          </w:p>
        </w:tc>
        <w:tc>
          <w:tcPr>
            <w:tcW w:w="1360" w:type="dxa"/>
            <w:hideMark/>
          </w:tcPr>
          <w:p w:rsidR="00EB78C3" w:rsidRPr="00EB78C3" w:rsidRDefault="00EB78C3" w:rsidP="00EB78C3">
            <w:pPr>
              <w:jc w:val="center"/>
            </w:pPr>
            <w:r w:rsidRPr="00EB78C3">
              <w:t>End Month</w:t>
            </w:r>
          </w:p>
        </w:tc>
        <w:tc>
          <w:tcPr>
            <w:tcW w:w="1120" w:type="dxa"/>
            <w:hideMark/>
          </w:tcPr>
          <w:p w:rsidR="00EB78C3" w:rsidRPr="00EB78C3" w:rsidRDefault="00EB78C3" w:rsidP="00EB78C3">
            <w:pPr>
              <w:jc w:val="center"/>
            </w:pPr>
            <w:r w:rsidRPr="00EB78C3">
              <w:t xml:space="preserve">End Day </w:t>
            </w:r>
          </w:p>
        </w:tc>
        <w:tc>
          <w:tcPr>
            <w:tcW w:w="1260" w:type="dxa"/>
            <w:hideMark/>
          </w:tcPr>
          <w:p w:rsidR="00EB78C3" w:rsidRPr="00EB78C3" w:rsidRDefault="00EB78C3" w:rsidP="00EB78C3">
            <w:pPr>
              <w:jc w:val="center"/>
            </w:pPr>
            <w:r w:rsidRPr="00EB78C3">
              <w:t>Start Hour</w:t>
            </w:r>
          </w:p>
        </w:tc>
        <w:tc>
          <w:tcPr>
            <w:tcW w:w="1180" w:type="dxa"/>
            <w:hideMark/>
          </w:tcPr>
          <w:p w:rsidR="00EB78C3" w:rsidRPr="00EB78C3" w:rsidRDefault="00EB78C3" w:rsidP="00EB78C3">
            <w:pPr>
              <w:jc w:val="center"/>
            </w:pPr>
            <w:r w:rsidRPr="00EB78C3">
              <w:t>End Hour</w:t>
            </w:r>
          </w:p>
        </w:tc>
      </w:tr>
      <w:tr w:rsidR="00EB78C3"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16</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18</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2</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4</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5</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6</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EB78C3"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44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w:t>
            </w:r>
          </w:p>
        </w:tc>
        <w:tc>
          <w:tcPr>
            <w:tcW w:w="13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9</w:t>
            </w:r>
          </w:p>
        </w:tc>
        <w:tc>
          <w:tcPr>
            <w:tcW w:w="112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3</w:t>
            </w:r>
          </w:p>
        </w:tc>
        <w:tc>
          <w:tcPr>
            <w:tcW w:w="126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EB78C3" w:rsidRPr="00EB78C3" w:rsidRDefault="00EB78C3"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bl>
    <w:p w:rsidR="00C22E78" w:rsidRDefault="00C22E78">
      <w:r>
        <w:br w:type="page"/>
      </w:r>
    </w:p>
    <w:p w:rsidR="00C22E78" w:rsidRDefault="00C22E78" w:rsidP="00C22E78">
      <w:pPr>
        <w:pStyle w:val="Caption"/>
      </w:pPr>
      <w:bookmarkStart w:id="56" w:name="_Toc386632091"/>
      <w:r w:rsidRPr="00682D3D">
        <w:t xml:space="preserve">Table </w:t>
      </w:r>
      <w:r>
        <w:t>7</w:t>
      </w:r>
      <w:r w:rsidRPr="00CF7037">
        <w:t xml:space="preserve"> </w:t>
      </w:r>
      <w:r w:rsidR="005F544A">
        <w:t>Hour Specifications for Peak Demand Calculations</w:t>
      </w:r>
      <w:bookmarkEnd w:id="56"/>
    </w:p>
    <w:p w:rsidR="00C22E78" w:rsidRDefault="00C22E78" w:rsidP="00C22E78">
      <w:pPr>
        <w:ind w:left="720" w:firstLine="720"/>
      </w:pPr>
    </w:p>
    <w:tbl>
      <w:tblPr>
        <w:tblStyle w:val="TableContemporary"/>
        <w:tblW w:w="8480" w:type="dxa"/>
        <w:jc w:val="center"/>
        <w:tblLook w:val="04A0" w:firstRow="1" w:lastRow="0" w:firstColumn="1" w:lastColumn="0" w:noHBand="0" w:noVBand="1"/>
      </w:tblPr>
      <w:tblGrid>
        <w:gridCol w:w="960"/>
        <w:gridCol w:w="1440"/>
        <w:gridCol w:w="1160"/>
        <w:gridCol w:w="1360"/>
        <w:gridCol w:w="1120"/>
        <w:gridCol w:w="1260"/>
        <w:gridCol w:w="1180"/>
      </w:tblGrid>
      <w:tr w:rsidR="00C22E78" w:rsidRPr="00EB78C3" w:rsidTr="00EB78C3">
        <w:trPr>
          <w:cnfStyle w:val="100000000000" w:firstRow="1" w:lastRow="0" w:firstColumn="0" w:lastColumn="0" w:oddVBand="0" w:evenVBand="0" w:oddHBand="0" w:evenHBand="0" w:firstRowFirstColumn="0" w:firstRowLastColumn="0" w:lastRowFirstColumn="0" w:lastRowLastColumn="0"/>
          <w:trHeight w:val="300"/>
          <w:jc w:val="center"/>
        </w:trPr>
        <w:tc>
          <w:tcPr>
            <w:tcW w:w="960" w:type="dxa"/>
            <w:noWrap/>
          </w:tcPr>
          <w:p w:rsidR="00C22E78" w:rsidRPr="00EB78C3" w:rsidRDefault="00C22E78" w:rsidP="0018345B">
            <w:pPr>
              <w:jc w:val="center"/>
            </w:pPr>
            <w:r w:rsidRPr="00EB78C3">
              <w:t>CZ</w:t>
            </w:r>
          </w:p>
        </w:tc>
        <w:tc>
          <w:tcPr>
            <w:tcW w:w="1440" w:type="dxa"/>
            <w:noWrap/>
          </w:tcPr>
          <w:p w:rsidR="00C22E78" w:rsidRPr="00EB78C3" w:rsidRDefault="00C22E78" w:rsidP="0018345B">
            <w:pPr>
              <w:jc w:val="center"/>
            </w:pPr>
            <w:r w:rsidRPr="00EB78C3">
              <w:t>Start Month</w:t>
            </w:r>
          </w:p>
        </w:tc>
        <w:tc>
          <w:tcPr>
            <w:tcW w:w="1160" w:type="dxa"/>
            <w:noWrap/>
          </w:tcPr>
          <w:p w:rsidR="00C22E78" w:rsidRPr="00EB78C3" w:rsidRDefault="00C22E78" w:rsidP="0018345B">
            <w:pPr>
              <w:jc w:val="center"/>
            </w:pPr>
            <w:r w:rsidRPr="00EB78C3">
              <w:t>Start Day</w:t>
            </w:r>
          </w:p>
        </w:tc>
        <w:tc>
          <w:tcPr>
            <w:tcW w:w="1360" w:type="dxa"/>
            <w:noWrap/>
          </w:tcPr>
          <w:p w:rsidR="00C22E78" w:rsidRPr="00EB78C3" w:rsidRDefault="00C22E78" w:rsidP="0018345B">
            <w:pPr>
              <w:jc w:val="center"/>
            </w:pPr>
            <w:r w:rsidRPr="00EB78C3">
              <w:t>End Month</w:t>
            </w:r>
          </w:p>
        </w:tc>
        <w:tc>
          <w:tcPr>
            <w:tcW w:w="1120" w:type="dxa"/>
            <w:noWrap/>
          </w:tcPr>
          <w:p w:rsidR="00C22E78" w:rsidRPr="00EB78C3" w:rsidRDefault="00C22E78" w:rsidP="0018345B">
            <w:pPr>
              <w:jc w:val="center"/>
            </w:pPr>
            <w:r w:rsidRPr="00EB78C3">
              <w:t xml:space="preserve">End Day </w:t>
            </w:r>
          </w:p>
        </w:tc>
        <w:tc>
          <w:tcPr>
            <w:tcW w:w="1260" w:type="dxa"/>
            <w:noWrap/>
          </w:tcPr>
          <w:p w:rsidR="00C22E78" w:rsidRPr="00EB78C3" w:rsidRDefault="00C22E78" w:rsidP="0018345B">
            <w:pPr>
              <w:jc w:val="center"/>
            </w:pPr>
            <w:r w:rsidRPr="00EB78C3">
              <w:t>Start Hour</w:t>
            </w:r>
          </w:p>
        </w:tc>
        <w:tc>
          <w:tcPr>
            <w:tcW w:w="1180" w:type="dxa"/>
            <w:noWrap/>
          </w:tcPr>
          <w:p w:rsidR="00C22E78" w:rsidRPr="00EB78C3" w:rsidRDefault="00C22E78" w:rsidP="0018345B">
            <w:pPr>
              <w:jc w:val="center"/>
            </w:pPr>
            <w:r w:rsidRPr="00EB78C3">
              <w:t>End Hour</w:t>
            </w:r>
          </w:p>
        </w:tc>
      </w:tr>
      <w:tr w:rsidR="00C22E78"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11</w:t>
            </w:r>
          </w:p>
        </w:tc>
        <w:tc>
          <w:tcPr>
            <w:tcW w:w="144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2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C22E78"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12</w:t>
            </w:r>
          </w:p>
        </w:tc>
        <w:tc>
          <w:tcPr>
            <w:tcW w:w="144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2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C22E78"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13</w:t>
            </w:r>
          </w:p>
        </w:tc>
        <w:tc>
          <w:tcPr>
            <w:tcW w:w="144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2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C22E78"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14</w:t>
            </w:r>
          </w:p>
        </w:tc>
        <w:tc>
          <w:tcPr>
            <w:tcW w:w="144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1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26</w:t>
            </w:r>
          </w:p>
        </w:tc>
        <w:tc>
          <w:tcPr>
            <w:tcW w:w="13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12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28</w:t>
            </w:r>
          </w:p>
        </w:tc>
        <w:tc>
          <w:tcPr>
            <w:tcW w:w="12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C22E78" w:rsidRPr="00EB78C3" w:rsidTr="00EB78C3">
        <w:trPr>
          <w:cnfStyle w:val="000000100000" w:firstRow="0" w:lastRow="0" w:firstColumn="0" w:lastColumn="0" w:oddVBand="0" w:evenVBand="0" w:oddHBand="1" w:evenHBand="0" w:firstRowFirstColumn="0" w:firstRowLastColumn="0" w:lastRowFirstColumn="0" w:lastRowLastColumn="0"/>
          <w:trHeight w:val="300"/>
          <w:jc w:val="center"/>
        </w:trPr>
        <w:tc>
          <w:tcPr>
            <w:tcW w:w="9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44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1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25</w:t>
            </w:r>
          </w:p>
        </w:tc>
        <w:tc>
          <w:tcPr>
            <w:tcW w:w="13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12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27</w:t>
            </w:r>
          </w:p>
        </w:tc>
        <w:tc>
          <w:tcPr>
            <w:tcW w:w="12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r w:rsidR="00C22E78" w:rsidRPr="00EB78C3" w:rsidTr="00EB78C3">
        <w:trPr>
          <w:cnfStyle w:val="000000010000" w:firstRow="0" w:lastRow="0" w:firstColumn="0" w:lastColumn="0" w:oddVBand="0" w:evenVBand="0" w:oddHBand="0" w:evenHBand="1" w:firstRowFirstColumn="0" w:firstRowLastColumn="0" w:lastRowFirstColumn="0" w:lastRowLastColumn="0"/>
          <w:trHeight w:val="300"/>
          <w:jc w:val="center"/>
        </w:trPr>
        <w:tc>
          <w:tcPr>
            <w:tcW w:w="9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16</w:t>
            </w:r>
          </w:p>
        </w:tc>
        <w:tc>
          <w:tcPr>
            <w:tcW w:w="144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8</w:t>
            </w:r>
          </w:p>
        </w:tc>
        <w:tc>
          <w:tcPr>
            <w:tcW w:w="13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7</w:t>
            </w:r>
          </w:p>
        </w:tc>
        <w:tc>
          <w:tcPr>
            <w:tcW w:w="112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10</w:t>
            </w:r>
          </w:p>
        </w:tc>
        <w:tc>
          <w:tcPr>
            <w:tcW w:w="126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15</w:t>
            </w:r>
          </w:p>
        </w:tc>
        <w:tc>
          <w:tcPr>
            <w:tcW w:w="1180" w:type="dxa"/>
            <w:noWrap/>
            <w:hideMark/>
          </w:tcPr>
          <w:p w:rsidR="00C22E78" w:rsidRPr="00EB78C3" w:rsidRDefault="00C22E78" w:rsidP="00EB78C3">
            <w:pPr>
              <w:jc w:val="right"/>
              <w:rPr>
                <w:rFonts w:ascii="Calibri" w:hAnsi="Calibri" w:cs="Calibri"/>
                <w:color w:val="000000"/>
                <w:sz w:val="22"/>
                <w:szCs w:val="22"/>
              </w:rPr>
            </w:pPr>
            <w:r w:rsidRPr="00EB78C3">
              <w:rPr>
                <w:rFonts w:ascii="Calibri" w:hAnsi="Calibri" w:cs="Calibri"/>
                <w:color w:val="000000"/>
                <w:sz w:val="22"/>
                <w:szCs w:val="22"/>
              </w:rPr>
              <w:t>17</w:t>
            </w:r>
          </w:p>
        </w:tc>
      </w:tr>
    </w:tbl>
    <w:p w:rsidR="00EB78C3" w:rsidRDefault="00EB78C3" w:rsidP="000F561E"/>
    <w:p w:rsidR="000F561E" w:rsidRDefault="000F561E" w:rsidP="000F561E"/>
    <w:p w:rsidR="00EB78C3" w:rsidRPr="00BF0332" w:rsidRDefault="00EB78C3" w:rsidP="00EB78C3">
      <w:pPr>
        <w:pStyle w:val="Heading2"/>
      </w:pPr>
      <w:bookmarkStart w:id="57" w:name="_Toc304800213"/>
      <w:bookmarkStart w:id="58" w:name="_Toc324318367"/>
      <w:bookmarkStart w:id="59" w:name="_Toc324340496"/>
      <w:bookmarkStart w:id="60" w:name="_Toc383442001"/>
      <w:bookmarkStart w:id="61" w:name="_Toc386465499"/>
      <w:r w:rsidRPr="00BF0332">
        <w:t>2.3. Gas Energy Savings Estimation Methodologies</w:t>
      </w:r>
      <w:bookmarkEnd w:id="57"/>
      <w:bookmarkEnd w:id="58"/>
      <w:bookmarkEnd w:id="59"/>
      <w:bookmarkEnd w:id="60"/>
      <w:bookmarkEnd w:id="61"/>
    </w:p>
    <w:p w:rsidR="00EB78C3" w:rsidRDefault="00EB78C3" w:rsidP="000F561E"/>
    <w:p w:rsidR="00EB78C3" w:rsidRDefault="00EB78C3" w:rsidP="000F561E">
      <w:r>
        <w:t>Gas energy savings were determined from the baseline and post</w:t>
      </w:r>
      <w:r w:rsidR="007B2D18">
        <w:t xml:space="preserve">-retrofit </w:t>
      </w:r>
      <w:proofErr w:type="spellStart"/>
      <w:r w:rsidR="007B2D18">
        <w:t>eQUE</w:t>
      </w:r>
      <w:r w:rsidR="00415578">
        <w:t>ST</w:t>
      </w:r>
      <w:proofErr w:type="spellEnd"/>
      <w:r w:rsidR="00415578">
        <w:t xml:space="preserve"> energy models</w:t>
      </w:r>
      <w:r w:rsidR="006738B1">
        <w:t xml:space="preserve"> in accord with the keyword changes elaborated on in section 2.1 and in Attachment E “Keyword Changes”.</w:t>
      </w:r>
      <w:r w:rsidR="000803DA">
        <w:t xml:space="preserve"> Because there is no code</w:t>
      </w:r>
      <w:r w:rsidR="007B2D18">
        <w:t>, t</w:t>
      </w:r>
      <w:r w:rsidR="006738B1">
        <w:t xml:space="preserve">he gas energy savings for this measure </w:t>
      </w:r>
      <w:r w:rsidR="00415578">
        <w:t>represents interactive effects of the refrigerati</w:t>
      </w:r>
      <w:r w:rsidR="006738B1">
        <w:t>on system with the HVAC system.</w:t>
      </w:r>
    </w:p>
    <w:p w:rsidR="00E16609" w:rsidRPr="00E95FA2" w:rsidRDefault="00E16609" w:rsidP="006C578E">
      <w:pPr>
        <w:pStyle w:val="Heading1"/>
      </w:pPr>
      <w:bookmarkStart w:id="62" w:name="_Toc386465500"/>
      <w:proofErr w:type="gramStart"/>
      <w:r w:rsidRPr="00E95FA2">
        <w:t>Section 3.</w:t>
      </w:r>
      <w:proofErr w:type="gramEnd"/>
      <w:r w:rsidRPr="00E95FA2">
        <w:t xml:space="preserve"> Load Shape</w:t>
      </w:r>
      <w:bookmarkEnd w:id="46"/>
      <w:r w:rsidRPr="00E95FA2">
        <w:t>s</w:t>
      </w:r>
      <w:bookmarkEnd w:id="62"/>
    </w:p>
    <w:p w:rsidR="00701F8B" w:rsidRPr="00701F8B" w:rsidRDefault="00701F8B" w:rsidP="00553927">
      <w:pPr>
        <w:pStyle w:val="Heading2"/>
      </w:pPr>
      <w:bookmarkStart w:id="63" w:name="_Toc173742996"/>
      <w:bookmarkStart w:id="64" w:name="_Toc364340844"/>
      <w:bookmarkStart w:id="65" w:name="_Toc386465501"/>
      <w:bookmarkStart w:id="66" w:name="_Toc214003096"/>
      <w:r w:rsidRPr="00701F8B">
        <w:t>3.1 Base Case Load Shapes</w:t>
      </w:r>
      <w:bookmarkEnd w:id="63"/>
      <w:bookmarkEnd w:id="64"/>
      <w:bookmarkEnd w:id="65"/>
    </w:p>
    <w:p w:rsidR="00701F8B" w:rsidRDefault="00701F8B" w:rsidP="00701F8B">
      <w:pPr>
        <w:spacing w:after="120"/>
      </w:pPr>
      <w:bookmarkStart w:id="67" w:name="_Toc173742997"/>
      <w:r w:rsidRPr="00701F8B">
        <w:t>The base case load shape is expected to follow a typical “Refrigeration” load shape for this measure because the case lights</w:t>
      </w:r>
      <w:r w:rsidRPr="00701F8B">
        <w:fldChar w:fldCharType="begin"/>
      </w:r>
      <w:r w:rsidRPr="00701F8B">
        <w:instrText xml:space="preserve"> XE "case lights" </w:instrText>
      </w:r>
      <w:r w:rsidRPr="00701F8B">
        <w:fldChar w:fldCharType="end"/>
      </w:r>
      <w:r w:rsidRPr="00701F8B">
        <w:t>, evaporator</w:t>
      </w:r>
      <w:r w:rsidRPr="00701F8B">
        <w:fldChar w:fldCharType="begin"/>
      </w:r>
      <w:r w:rsidRPr="00701F8B">
        <w:instrText xml:space="preserve"> XE "evaporator" </w:instrText>
      </w:r>
      <w:r w:rsidRPr="00701F8B">
        <w:fldChar w:fldCharType="end"/>
      </w:r>
      <w:r w:rsidRPr="00701F8B">
        <w:t xml:space="preserve"> fans</w:t>
      </w:r>
      <w:r w:rsidRPr="00701F8B">
        <w:fldChar w:fldCharType="begin"/>
      </w:r>
      <w:r w:rsidRPr="00701F8B">
        <w:instrText xml:space="preserve"> XE "fans" </w:instrText>
      </w:r>
      <w:r w:rsidRPr="00701F8B">
        <w:fldChar w:fldCharType="end"/>
      </w:r>
      <w:r w:rsidRPr="00701F8B">
        <w:t xml:space="preserve">, ASH and the compressor operate continuously to maintain the case temperature. </w:t>
      </w:r>
    </w:p>
    <w:p w:rsidR="00701F8B" w:rsidRDefault="00701F8B" w:rsidP="00701F8B">
      <w:pPr>
        <w:rPr>
          <w:sz w:val="20"/>
          <w:szCs w:val="20"/>
        </w:rPr>
      </w:pPr>
    </w:p>
    <w:p w:rsidR="00701F8B" w:rsidRPr="00701F8B" w:rsidRDefault="00701F8B" w:rsidP="00553927">
      <w:pPr>
        <w:pStyle w:val="Heading2"/>
      </w:pPr>
      <w:bookmarkStart w:id="68" w:name="_Toc364340845"/>
      <w:bookmarkStart w:id="69" w:name="_Toc386465502"/>
      <w:r w:rsidRPr="00701F8B">
        <w:t>3.2 Measure Load Shapes</w:t>
      </w:r>
      <w:bookmarkEnd w:id="67"/>
      <w:bookmarkEnd w:id="68"/>
      <w:bookmarkEnd w:id="69"/>
    </w:p>
    <w:p w:rsidR="00701F8B" w:rsidRPr="00701F8B" w:rsidRDefault="00701F8B" w:rsidP="00701F8B">
      <w:r w:rsidRPr="00701F8B">
        <w:t xml:space="preserve">For purposes of the net benefits estimates in the E3 calculator, what is required is the load shape that ideally represents the difference between the base equipment and the installed energy efficiency measure.  This difference load profile is what is called the Measure Load Shape and is the preferred load shape for use in the net benefits calculations.  </w:t>
      </w:r>
    </w:p>
    <w:p w:rsidR="00701F8B" w:rsidRPr="00701F8B" w:rsidRDefault="00701F8B" w:rsidP="00701F8B"/>
    <w:p w:rsidR="008F52FC" w:rsidRPr="00701F8B" w:rsidRDefault="00701F8B" w:rsidP="00701F8B">
      <w:r w:rsidRPr="00701F8B">
        <w:t xml:space="preserve">The E3 Calculator contains a fixed set of load shapes selections that are the combination of the hourly avoided costs and the load shape data that was available at the time of the tool’s creation. In the E3 Calculator, the load shape that most closely fits this measure is the "Refrigeration” load shape as the new </w:t>
      </w:r>
      <w:r w:rsidRPr="00701F8B">
        <w:fldChar w:fldCharType="begin"/>
      </w:r>
      <w:r w:rsidRPr="00701F8B">
        <w:instrText xml:space="preserve"> XE "high efficiency" </w:instrText>
      </w:r>
      <w:r w:rsidRPr="00701F8B">
        <w:fldChar w:fldCharType="end"/>
      </w:r>
      <w:r w:rsidRPr="00701F8B">
        <w:t>cases also operate continuously.</w:t>
      </w:r>
    </w:p>
    <w:p w:rsidR="00553927" w:rsidRDefault="00553927" w:rsidP="00553927"/>
    <w:p w:rsidR="00553927" w:rsidRPr="00553927" w:rsidRDefault="00635792" w:rsidP="00635792">
      <w:pPr>
        <w:spacing w:after="200" w:line="276" w:lineRule="auto"/>
      </w:pPr>
      <w:r>
        <w:br w:type="page"/>
      </w:r>
    </w:p>
    <w:p w:rsidR="00E16609" w:rsidRDefault="00E16609" w:rsidP="00553927">
      <w:pPr>
        <w:pStyle w:val="Heading1"/>
      </w:pPr>
      <w:bookmarkStart w:id="70" w:name="_Toc386465503"/>
      <w:proofErr w:type="gramStart"/>
      <w:r w:rsidRPr="00E95FA2">
        <w:t>Section 4.</w:t>
      </w:r>
      <w:proofErr w:type="gramEnd"/>
      <w:r w:rsidRPr="00E95FA2">
        <w:t xml:space="preserve"> Base Case &amp; Measure Costs</w:t>
      </w:r>
      <w:bookmarkEnd w:id="66"/>
      <w:bookmarkEnd w:id="70"/>
    </w:p>
    <w:p w:rsidR="009571EF" w:rsidRDefault="009571EF" w:rsidP="009571EF"/>
    <w:p w:rsidR="009571EF" w:rsidRPr="009571EF" w:rsidRDefault="00EB3104" w:rsidP="009571EF">
      <w:r>
        <w:t>Baseline and m</w:t>
      </w:r>
      <w:r w:rsidR="009571EF">
        <w:t xml:space="preserve">easure </w:t>
      </w:r>
      <w:r>
        <w:t>case c</w:t>
      </w:r>
      <w:r w:rsidR="009571EF">
        <w:t>osts were compiled using</w:t>
      </w:r>
      <w:r w:rsidR="006F6E26">
        <w:t xml:space="preserve"> the Federal energy standards</w:t>
      </w:r>
      <w:r w:rsidR="00ED10A2">
        <w:t xml:space="preserve"> life cycle analysis data</w:t>
      </w:r>
      <w:r w:rsidR="006F6E26">
        <w:t>.</w:t>
      </w:r>
      <w:r w:rsidR="00F44AB5">
        <w:rPr>
          <w:rStyle w:val="EndnoteReference"/>
        </w:rPr>
        <w:endnoteReference w:id="13"/>
      </w:r>
      <w:r w:rsidR="009571EF">
        <w:t xml:space="preserve"> </w:t>
      </w:r>
    </w:p>
    <w:p w:rsidR="00E16609" w:rsidRDefault="00E16609" w:rsidP="006C578E">
      <w:pPr>
        <w:pStyle w:val="Heading2"/>
      </w:pPr>
      <w:bookmarkStart w:id="71" w:name="_Toc214003097"/>
      <w:bookmarkStart w:id="72" w:name="_Toc386465504"/>
      <w:r w:rsidRPr="00E95FA2">
        <w:t>4.1 Base Case Cost</w:t>
      </w:r>
      <w:bookmarkEnd w:id="71"/>
      <w:bookmarkEnd w:id="72"/>
    </w:p>
    <w:p w:rsidR="00850F61" w:rsidRDefault="00850F61" w:rsidP="00553927">
      <w:pPr>
        <w:pStyle w:val="Caption"/>
      </w:pPr>
    </w:p>
    <w:p w:rsidR="00865A5C" w:rsidRDefault="00865A5C" w:rsidP="00553927">
      <w:pPr>
        <w:pStyle w:val="Caption"/>
      </w:pPr>
      <w:bookmarkStart w:id="73" w:name="_Toc386632092"/>
      <w:r>
        <w:t xml:space="preserve">Table </w:t>
      </w:r>
      <w:r w:rsidR="00591A33">
        <w:t>8</w:t>
      </w:r>
      <w:r>
        <w:t xml:space="preserve"> Summary of Base Case Costs</w:t>
      </w:r>
      <w:bookmarkEnd w:id="73"/>
    </w:p>
    <w:p w:rsidR="00553927" w:rsidRPr="00553927" w:rsidRDefault="00553927" w:rsidP="00553927"/>
    <w:tbl>
      <w:tblPr>
        <w:tblStyle w:val="TableContemporary"/>
        <w:tblW w:w="0" w:type="auto"/>
        <w:tblLook w:val="04A0" w:firstRow="1" w:lastRow="0" w:firstColumn="1" w:lastColumn="0" w:noHBand="0" w:noVBand="1"/>
      </w:tblPr>
      <w:tblGrid>
        <w:gridCol w:w="1306"/>
        <w:gridCol w:w="1457"/>
        <w:gridCol w:w="1296"/>
        <w:gridCol w:w="1367"/>
        <w:gridCol w:w="1278"/>
        <w:gridCol w:w="1550"/>
        <w:gridCol w:w="1322"/>
      </w:tblGrid>
      <w:tr w:rsidR="00B54093" w:rsidTr="00B54093">
        <w:trPr>
          <w:cnfStyle w:val="100000000000" w:firstRow="1" w:lastRow="0" w:firstColumn="0" w:lastColumn="0" w:oddVBand="0" w:evenVBand="0" w:oddHBand="0" w:evenHBand="0" w:firstRowFirstColumn="0" w:firstRowLastColumn="0" w:lastRowFirstColumn="0" w:lastRowLastColumn="0"/>
        </w:trPr>
        <w:tc>
          <w:tcPr>
            <w:tcW w:w="1368" w:type="dxa"/>
            <w:vAlign w:val="center"/>
          </w:tcPr>
          <w:p w:rsidR="00B54093" w:rsidRDefault="00B54093" w:rsidP="00B54093">
            <w:pPr>
              <w:jc w:val="center"/>
            </w:pPr>
            <w:r>
              <w:t>Measure Code</w:t>
            </w:r>
          </w:p>
        </w:tc>
        <w:tc>
          <w:tcPr>
            <w:tcW w:w="1368" w:type="dxa"/>
            <w:vAlign w:val="center"/>
          </w:tcPr>
          <w:p w:rsidR="00B54093" w:rsidRDefault="00B54093" w:rsidP="00B54093">
            <w:pPr>
              <w:jc w:val="center"/>
            </w:pPr>
            <w:r>
              <w:t>Transaction</w:t>
            </w:r>
          </w:p>
        </w:tc>
        <w:tc>
          <w:tcPr>
            <w:tcW w:w="1368" w:type="dxa"/>
            <w:vAlign w:val="center"/>
          </w:tcPr>
          <w:p w:rsidR="00B54093" w:rsidRDefault="00B54093" w:rsidP="00B54093">
            <w:pPr>
              <w:jc w:val="center"/>
            </w:pPr>
            <w:r>
              <w:t>Baseline</w:t>
            </w:r>
          </w:p>
        </w:tc>
        <w:tc>
          <w:tcPr>
            <w:tcW w:w="1368" w:type="dxa"/>
            <w:vAlign w:val="center"/>
          </w:tcPr>
          <w:p w:rsidR="00B54093" w:rsidRDefault="00B54093" w:rsidP="00B54093">
            <w:pPr>
              <w:jc w:val="center"/>
            </w:pPr>
            <w:r>
              <w:t>Equipment Cost</w:t>
            </w:r>
          </w:p>
        </w:tc>
        <w:tc>
          <w:tcPr>
            <w:tcW w:w="1368" w:type="dxa"/>
            <w:vAlign w:val="center"/>
          </w:tcPr>
          <w:p w:rsidR="00B54093" w:rsidRDefault="00B54093" w:rsidP="00B54093">
            <w:pPr>
              <w:jc w:val="center"/>
            </w:pPr>
            <w:r>
              <w:t>Labor / Install Cost</w:t>
            </w:r>
          </w:p>
        </w:tc>
        <w:tc>
          <w:tcPr>
            <w:tcW w:w="1368" w:type="dxa"/>
            <w:vAlign w:val="center"/>
          </w:tcPr>
          <w:p w:rsidR="00B54093" w:rsidRDefault="00B54093" w:rsidP="00B54093">
            <w:pPr>
              <w:jc w:val="center"/>
            </w:pPr>
            <w:r>
              <w:t>Maintenance / Other Cost</w:t>
            </w:r>
          </w:p>
        </w:tc>
        <w:tc>
          <w:tcPr>
            <w:tcW w:w="1368" w:type="dxa"/>
            <w:vAlign w:val="center"/>
          </w:tcPr>
          <w:p w:rsidR="00B54093" w:rsidRDefault="00B54093" w:rsidP="00B54093">
            <w:pPr>
              <w:jc w:val="center"/>
            </w:pPr>
            <w:r>
              <w:t>Total Base Case Cost</w:t>
            </w:r>
          </w:p>
        </w:tc>
      </w:tr>
      <w:tr w:rsidR="00B54093" w:rsidTr="00B54093">
        <w:trPr>
          <w:cnfStyle w:val="000000100000" w:firstRow="0" w:lastRow="0" w:firstColumn="0" w:lastColumn="0" w:oddVBand="0" w:evenVBand="0" w:oddHBand="1" w:evenHBand="0" w:firstRowFirstColumn="0" w:firstRowLastColumn="0" w:lastRowFirstColumn="0" w:lastRowLastColumn="0"/>
        </w:trPr>
        <w:tc>
          <w:tcPr>
            <w:tcW w:w="1368" w:type="dxa"/>
            <w:vAlign w:val="center"/>
          </w:tcPr>
          <w:p w:rsidR="00B54093" w:rsidRDefault="00B54093" w:rsidP="00B54093">
            <w:pPr>
              <w:jc w:val="center"/>
            </w:pPr>
            <w:r>
              <w:t>R4</w:t>
            </w:r>
          </w:p>
        </w:tc>
        <w:tc>
          <w:tcPr>
            <w:tcW w:w="1368" w:type="dxa"/>
            <w:vAlign w:val="center"/>
          </w:tcPr>
          <w:p w:rsidR="00B54093" w:rsidRDefault="00B54093" w:rsidP="00B54093">
            <w:pPr>
              <w:jc w:val="center"/>
            </w:pPr>
            <w:r>
              <w:t>ROB</w:t>
            </w:r>
          </w:p>
        </w:tc>
        <w:tc>
          <w:tcPr>
            <w:tcW w:w="1368" w:type="dxa"/>
            <w:vAlign w:val="center"/>
          </w:tcPr>
          <w:p w:rsidR="00B54093" w:rsidRDefault="00B54093" w:rsidP="00B54093">
            <w:pPr>
              <w:jc w:val="center"/>
            </w:pPr>
            <w:r>
              <w:t>Federal Code</w:t>
            </w:r>
          </w:p>
        </w:tc>
        <w:tc>
          <w:tcPr>
            <w:tcW w:w="1368" w:type="dxa"/>
            <w:vAlign w:val="center"/>
          </w:tcPr>
          <w:p w:rsidR="00B54093" w:rsidRDefault="00B54093" w:rsidP="00B54093">
            <w:pPr>
              <w:jc w:val="center"/>
            </w:pPr>
            <w:r>
              <w:t>$837.05</w:t>
            </w:r>
          </w:p>
        </w:tc>
        <w:tc>
          <w:tcPr>
            <w:tcW w:w="1368" w:type="dxa"/>
            <w:vAlign w:val="center"/>
          </w:tcPr>
          <w:p w:rsidR="00B54093" w:rsidRDefault="00B54093" w:rsidP="00B54093">
            <w:pPr>
              <w:jc w:val="center"/>
            </w:pPr>
            <w:r>
              <w:t>$206.33</w:t>
            </w:r>
          </w:p>
        </w:tc>
        <w:tc>
          <w:tcPr>
            <w:tcW w:w="1368" w:type="dxa"/>
            <w:vAlign w:val="center"/>
          </w:tcPr>
          <w:p w:rsidR="00B54093" w:rsidRDefault="00B54093" w:rsidP="00B54093">
            <w:pPr>
              <w:jc w:val="center"/>
            </w:pPr>
            <w:r>
              <w:t>$0.00</w:t>
            </w:r>
          </w:p>
        </w:tc>
        <w:tc>
          <w:tcPr>
            <w:tcW w:w="1368" w:type="dxa"/>
            <w:vAlign w:val="center"/>
          </w:tcPr>
          <w:p w:rsidR="00B54093" w:rsidRDefault="00B54093" w:rsidP="00B54093">
            <w:pPr>
              <w:jc w:val="center"/>
            </w:pPr>
            <w:r>
              <w:t>$1,043.38</w:t>
            </w:r>
          </w:p>
        </w:tc>
      </w:tr>
      <w:tr w:rsidR="00B54093" w:rsidTr="00B54093">
        <w:trPr>
          <w:cnfStyle w:val="000000010000" w:firstRow="0" w:lastRow="0" w:firstColumn="0" w:lastColumn="0" w:oddVBand="0" w:evenVBand="0" w:oddHBand="0" w:evenHBand="1" w:firstRowFirstColumn="0" w:firstRowLastColumn="0" w:lastRowFirstColumn="0" w:lastRowLastColumn="0"/>
        </w:trPr>
        <w:tc>
          <w:tcPr>
            <w:tcW w:w="1368" w:type="dxa"/>
            <w:vAlign w:val="center"/>
          </w:tcPr>
          <w:p w:rsidR="00B54093" w:rsidRDefault="00B54093" w:rsidP="00B54093">
            <w:pPr>
              <w:jc w:val="center"/>
            </w:pPr>
            <w:r>
              <w:t>R5</w:t>
            </w:r>
          </w:p>
        </w:tc>
        <w:tc>
          <w:tcPr>
            <w:tcW w:w="1368" w:type="dxa"/>
            <w:vAlign w:val="center"/>
          </w:tcPr>
          <w:p w:rsidR="00B54093" w:rsidRDefault="00B54093" w:rsidP="00B54093">
            <w:pPr>
              <w:jc w:val="center"/>
            </w:pPr>
            <w:r>
              <w:t>ROB</w:t>
            </w:r>
          </w:p>
        </w:tc>
        <w:tc>
          <w:tcPr>
            <w:tcW w:w="1368" w:type="dxa"/>
            <w:vAlign w:val="center"/>
          </w:tcPr>
          <w:p w:rsidR="00B54093" w:rsidRDefault="00B54093" w:rsidP="00B54093">
            <w:pPr>
              <w:jc w:val="center"/>
            </w:pPr>
            <w:r>
              <w:t>Federal Code</w:t>
            </w:r>
          </w:p>
        </w:tc>
        <w:tc>
          <w:tcPr>
            <w:tcW w:w="1368" w:type="dxa"/>
            <w:vAlign w:val="center"/>
          </w:tcPr>
          <w:p w:rsidR="00B54093" w:rsidRDefault="00B54093" w:rsidP="00B54093">
            <w:pPr>
              <w:jc w:val="center"/>
            </w:pPr>
            <w:r>
              <w:t>$593.82</w:t>
            </w:r>
          </w:p>
        </w:tc>
        <w:tc>
          <w:tcPr>
            <w:tcW w:w="1368" w:type="dxa"/>
            <w:vAlign w:val="center"/>
          </w:tcPr>
          <w:p w:rsidR="00B54093" w:rsidRDefault="00B54093" w:rsidP="00B54093">
            <w:pPr>
              <w:jc w:val="center"/>
            </w:pPr>
            <w:r>
              <w:t>$206.33</w:t>
            </w:r>
          </w:p>
        </w:tc>
        <w:tc>
          <w:tcPr>
            <w:tcW w:w="1368" w:type="dxa"/>
            <w:vAlign w:val="center"/>
          </w:tcPr>
          <w:p w:rsidR="00B54093" w:rsidRDefault="00B54093" w:rsidP="00B54093">
            <w:pPr>
              <w:jc w:val="center"/>
            </w:pPr>
            <w:r>
              <w:t>$0.00</w:t>
            </w:r>
          </w:p>
        </w:tc>
        <w:tc>
          <w:tcPr>
            <w:tcW w:w="1368" w:type="dxa"/>
            <w:vAlign w:val="center"/>
          </w:tcPr>
          <w:p w:rsidR="00B54093" w:rsidRDefault="00B54093" w:rsidP="00B54093">
            <w:pPr>
              <w:jc w:val="center"/>
            </w:pPr>
            <w:r>
              <w:t>$800.15</w:t>
            </w:r>
          </w:p>
        </w:tc>
      </w:tr>
    </w:tbl>
    <w:p w:rsidR="00B54093" w:rsidRPr="00850F61" w:rsidRDefault="00B56994" w:rsidP="00B54093">
      <w:pPr>
        <w:rPr>
          <w:sz w:val="18"/>
          <w:szCs w:val="18"/>
        </w:rPr>
      </w:pPr>
      <w:r w:rsidRPr="00850F61">
        <w:rPr>
          <w:sz w:val="18"/>
          <w:szCs w:val="18"/>
        </w:rPr>
        <w:t>*All costs noted as $ per measure unit</w:t>
      </w:r>
    </w:p>
    <w:p w:rsidR="00B56994" w:rsidRPr="00850F61" w:rsidRDefault="00B56994" w:rsidP="00B54093">
      <w:pPr>
        <w:rPr>
          <w:sz w:val="18"/>
          <w:szCs w:val="18"/>
        </w:rPr>
      </w:pPr>
      <w:r w:rsidRPr="00850F61">
        <w:rPr>
          <w:sz w:val="18"/>
          <w:szCs w:val="18"/>
        </w:rPr>
        <w:t xml:space="preserve">**For Cost Data See </w:t>
      </w:r>
      <w:r w:rsidR="00745559" w:rsidRPr="00850F61">
        <w:rPr>
          <w:sz w:val="18"/>
          <w:szCs w:val="18"/>
        </w:rPr>
        <w:t>Appendix B</w:t>
      </w:r>
    </w:p>
    <w:p w:rsidR="00340573" w:rsidRDefault="00340573" w:rsidP="006C578E">
      <w:pPr>
        <w:pStyle w:val="Heading2"/>
      </w:pPr>
      <w:bookmarkStart w:id="74" w:name="_Toc386465505"/>
      <w:bookmarkStart w:id="75" w:name="_Toc214003098"/>
      <w:r>
        <w:t>4.2 Measure Case Costs</w:t>
      </w:r>
      <w:bookmarkEnd w:id="74"/>
    </w:p>
    <w:p w:rsidR="00850F61" w:rsidRDefault="00850F61" w:rsidP="00553927">
      <w:pPr>
        <w:pStyle w:val="Caption"/>
      </w:pPr>
    </w:p>
    <w:p w:rsidR="00865A5C" w:rsidRDefault="00865A5C" w:rsidP="00553927">
      <w:pPr>
        <w:pStyle w:val="Caption"/>
      </w:pPr>
      <w:bookmarkStart w:id="76" w:name="_Toc386632093"/>
      <w:r>
        <w:t xml:space="preserve">Table </w:t>
      </w:r>
      <w:r w:rsidR="00591A33">
        <w:t>9</w:t>
      </w:r>
      <w:r>
        <w:t xml:space="preserve"> Summary of Measure Case Costs</w:t>
      </w:r>
      <w:bookmarkEnd w:id="76"/>
    </w:p>
    <w:p w:rsidR="00553927" w:rsidRPr="00553927" w:rsidRDefault="00553927" w:rsidP="00553927"/>
    <w:tbl>
      <w:tblPr>
        <w:tblStyle w:val="TableContemporary"/>
        <w:tblW w:w="0" w:type="auto"/>
        <w:tblLook w:val="04A0" w:firstRow="1" w:lastRow="0" w:firstColumn="1" w:lastColumn="0" w:noHBand="0" w:noVBand="1"/>
      </w:tblPr>
      <w:tblGrid>
        <w:gridCol w:w="1311"/>
        <w:gridCol w:w="1457"/>
        <w:gridCol w:w="1303"/>
        <w:gridCol w:w="1364"/>
        <w:gridCol w:w="1281"/>
        <w:gridCol w:w="1550"/>
        <w:gridCol w:w="1310"/>
      </w:tblGrid>
      <w:tr w:rsidR="00B634C4" w:rsidTr="00B634C4">
        <w:trPr>
          <w:cnfStyle w:val="100000000000" w:firstRow="1" w:lastRow="0" w:firstColumn="0" w:lastColumn="0" w:oddVBand="0" w:evenVBand="0" w:oddHBand="0" w:evenHBand="0" w:firstRowFirstColumn="0" w:firstRowLastColumn="0" w:lastRowFirstColumn="0" w:lastRowLastColumn="0"/>
        </w:trPr>
        <w:tc>
          <w:tcPr>
            <w:tcW w:w="1311" w:type="dxa"/>
          </w:tcPr>
          <w:p w:rsidR="00340573" w:rsidRDefault="00340573" w:rsidP="00612DA2">
            <w:pPr>
              <w:jc w:val="center"/>
            </w:pPr>
            <w:r>
              <w:t>Measure Code</w:t>
            </w:r>
          </w:p>
        </w:tc>
        <w:tc>
          <w:tcPr>
            <w:tcW w:w="1457" w:type="dxa"/>
          </w:tcPr>
          <w:p w:rsidR="00340573" w:rsidRDefault="00340573" w:rsidP="00612DA2">
            <w:pPr>
              <w:jc w:val="center"/>
            </w:pPr>
            <w:r>
              <w:t>Transaction</w:t>
            </w:r>
          </w:p>
        </w:tc>
        <w:tc>
          <w:tcPr>
            <w:tcW w:w="1303" w:type="dxa"/>
          </w:tcPr>
          <w:p w:rsidR="00340573" w:rsidRDefault="00340573" w:rsidP="00612DA2">
            <w:pPr>
              <w:jc w:val="center"/>
            </w:pPr>
            <w:r>
              <w:t>Baseline</w:t>
            </w:r>
          </w:p>
        </w:tc>
        <w:tc>
          <w:tcPr>
            <w:tcW w:w="1364" w:type="dxa"/>
          </w:tcPr>
          <w:p w:rsidR="00340573" w:rsidRDefault="00340573" w:rsidP="00612DA2">
            <w:pPr>
              <w:jc w:val="center"/>
            </w:pPr>
            <w:r>
              <w:t>Equipment Cost</w:t>
            </w:r>
          </w:p>
        </w:tc>
        <w:tc>
          <w:tcPr>
            <w:tcW w:w="1281" w:type="dxa"/>
          </w:tcPr>
          <w:p w:rsidR="00340573" w:rsidRDefault="00340573" w:rsidP="00612DA2">
            <w:pPr>
              <w:jc w:val="center"/>
            </w:pPr>
            <w:r>
              <w:t>Labor / Install Cost</w:t>
            </w:r>
          </w:p>
        </w:tc>
        <w:tc>
          <w:tcPr>
            <w:tcW w:w="1550" w:type="dxa"/>
          </w:tcPr>
          <w:p w:rsidR="00340573" w:rsidRDefault="00340573" w:rsidP="00612DA2">
            <w:pPr>
              <w:jc w:val="center"/>
            </w:pPr>
            <w:r>
              <w:t>Maintenance / Other Cost</w:t>
            </w:r>
          </w:p>
        </w:tc>
        <w:tc>
          <w:tcPr>
            <w:tcW w:w="1310" w:type="dxa"/>
          </w:tcPr>
          <w:p w:rsidR="00340573" w:rsidRDefault="00340573" w:rsidP="00612DA2">
            <w:pPr>
              <w:jc w:val="center"/>
            </w:pPr>
            <w:r>
              <w:t>Total Base Case Cost</w:t>
            </w:r>
          </w:p>
        </w:tc>
      </w:tr>
      <w:tr w:rsidR="00B634C4" w:rsidTr="00B634C4">
        <w:trPr>
          <w:cnfStyle w:val="000000100000" w:firstRow="0" w:lastRow="0" w:firstColumn="0" w:lastColumn="0" w:oddVBand="0" w:evenVBand="0" w:oddHBand="1" w:evenHBand="0" w:firstRowFirstColumn="0" w:firstRowLastColumn="0" w:lastRowFirstColumn="0" w:lastRowLastColumn="0"/>
        </w:trPr>
        <w:tc>
          <w:tcPr>
            <w:tcW w:w="1311" w:type="dxa"/>
          </w:tcPr>
          <w:p w:rsidR="00340573" w:rsidRDefault="00340573" w:rsidP="00612DA2">
            <w:pPr>
              <w:jc w:val="center"/>
            </w:pPr>
            <w:r>
              <w:t>R4</w:t>
            </w:r>
          </w:p>
        </w:tc>
        <w:tc>
          <w:tcPr>
            <w:tcW w:w="1457" w:type="dxa"/>
          </w:tcPr>
          <w:p w:rsidR="00340573" w:rsidRDefault="00340573" w:rsidP="00612DA2">
            <w:pPr>
              <w:jc w:val="center"/>
            </w:pPr>
            <w:r>
              <w:t>ROB</w:t>
            </w:r>
          </w:p>
        </w:tc>
        <w:tc>
          <w:tcPr>
            <w:tcW w:w="1303" w:type="dxa"/>
          </w:tcPr>
          <w:p w:rsidR="00340573" w:rsidRDefault="00340573" w:rsidP="00612DA2">
            <w:pPr>
              <w:jc w:val="center"/>
            </w:pPr>
            <w:r>
              <w:t>Federal Code</w:t>
            </w:r>
          </w:p>
        </w:tc>
        <w:tc>
          <w:tcPr>
            <w:tcW w:w="1364" w:type="dxa"/>
          </w:tcPr>
          <w:p w:rsidR="00340573" w:rsidRDefault="00340573" w:rsidP="00622693">
            <w:pPr>
              <w:jc w:val="center"/>
            </w:pPr>
            <w:r>
              <w:t>$</w:t>
            </w:r>
            <w:r w:rsidR="00622693">
              <w:t>1,048.32</w:t>
            </w:r>
          </w:p>
        </w:tc>
        <w:tc>
          <w:tcPr>
            <w:tcW w:w="1281" w:type="dxa"/>
          </w:tcPr>
          <w:p w:rsidR="00340573" w:rsidRDefault="00340573" w:rsidP="00612DA2">
            <w:pPr>
              <w:jc w:val="center"/>
            </w:pPr>
            <w:r>
              <w:t>$206.33</w:t>
            </w:r>
          </w:p>
        </w:tc>
        <w:tc>
          <w:tcPr>
            <w:tcW w:w="1550" w:type="dxa"/>
          </w:tcPr>
          <w:p w:rsidR="00340573" w:rsidRDefault="00340573" w:rsidP="00612DA2">
            <w:pPr>
              <w:jc w:val="center"/>
            </w:pPr>
            <w:r>
              <w:t>$0.00</w:t>
            </w:r>
          </w:p>
        </w:tc>
        <w:tc>
          <w:tcPr>
            <w:tcW w:w="1310" w:type="dxa"/>
          </w:tcPr>
          <w:p w:rsidR="00340573" w:rsidRDefault="00340573" w:rsidP="00622693">
            <w:pPr>
              <w:jc w:val="center"/>
            </w:pPr>
            <w:r>
              <w:t>$1,</w:t>
            </w:r>
            <w:r w:rsidR="00622693">
              <w:t>25</w:t>
            </w:r>
            <w:r>
              <w:t>4.</w:t>
            </w:r>
            <w:r w:rsidR="00622693">
              <w:t>65</w:t>
            </w:r>
          </w:p>
        </w:tc>
      </w:tr>
      <w:tr w:rsidR="00B634C4" w:rsidTr="00B634C4">
        <w:trPr>
          <w:cnfStyle w:val="000000010000" w:firstRow="0" w:lastRow="0" w:firstColumn="0" w:lastColumn="0" w:oddVBand="0" w:evenVBand="0" w:oddHBand="0" w:evenHBand="1" w:firstRowFirstColumn="0" w:firstRowLastColumn="0" w:lastRowFirstColumn="0" w:lastRowLastColumn="0"/>
        </w:trPr>
        <w:tc>
          <w:tcPr>
            <w:tcW w:w="1311" w:type="dxa"/>
          </w:tcPr>
          <w:p w:rsidR="00340573" w:rsidRDefault="00340573" w:rsidP="00612DA2">
            <w:pPr>
              <w:jc w:val="center"/>
            </w:pPr>
            <w:r>
              <w:t>R5</w:t>
            </w:r>
          </w:p>
        </w:tc>
        <w:tc>
          <w:tcPr>
            <w:tcW w:w="1457" w:type="dxa"/>
          </w:tcPr>
          <w:p w:rsidR="00340573" w:rsidRDefault="00340573" w:rsidP="00612DA2">
            <w:pPr>
              <w:jc w:val="center"/>
            </w:pPr>
            <w:r>
              <w:t>ROB</w:t>
            </w:r>
          </w:p>
        </w:tc>
        <w:tc>
          <w:tcPr>
            <w:tcW w:w="1303" w:type="dxa"/>
          </w:tcPr>
          <w:p w:rsidR="00340573" w:rsidRDefault="00340573" w:rsidP="00612DA2">
            <w:pPr>
              <w:jc w:val="center"/>
            </w:pPr>
            <w:r>
              <w:t>Federal Code</w:t>
            </w:r>
          </w:p>
        </w:tc>
        <w:tc>
          <w:tcPr>
            <w:tcW w:w="1364" w:type="dxa"/>
          </w:tcPr>
          <w:p w:rsidR="00340573" w:rsidRDefault="00340573" w:rsidP="00622693">
            <w:pPr>
              <w:jc w:val="center"/>
            </w:pPr>
            <w:r>
              <w:t>$</w:t>
            </w:r>
            <w:r w:rsidR="00622693">
              <w:t>915</w:t>
            </w:r>
            <w:r>
              <w:t>.</w:t>
            </w:r>
            <w:r w:rsidR="00622693">
              <w:t>77</w:t>
            </w:r>
          </w:p>
        </w:tc>
        <w:tc>
          <w:tcPr>
            <w:tcW w:w="1281" w:type="dxa"/>
          </w:tcPr>
          <w:p w:rsidR="00340573" w:rsidRDefault="00340573" w:rsidP="00612DA2">
            <w:pPr>
              <w:jc w:val="center"/>
            </w:pPr>
            <w:r>
              <w:t>$206.33</w:t>
            </w:r>
          </w:p>
        </w:tc>
        <w:tc>
          <w:tcPr>
            <w:tcW w:w="1550" w:type="dxa"/>
          </w:tcPr>
          <w:p w:rsidR="00340573" w:rsidRDefault="00340573" w:rsidP="00612DA2">
            <w:pPr>
              <w:jc w:val="center"/>
            </w:pPr>
            <w:r>
              <w:t>$0.00</w:t>
            </w:r>
          </w:p>
        </w:tc>
        <w:tc>
          <w:tcPr>
            <w:tcW w:w="1310" w:type="dxa"/>
          </w:tcPr>
          <w:p w:rsidR="00340573" w:rsidRDefault="00340573" w:rsidP="00622693">
            <w:pPr>
              <w:jc w:val="center"/>
            </w:pPr>
            <w:r>
              <w:t>$</w:t>
            </w:r>
            <w:r w:rsidR="00622693">
              <w:t>1,122</w:t>
            </w:r>
            <w:r>
              <w:t>.1</w:t>
            </w:r>
            <w:r w:rsidR="00622693">
              <w:t>1</w:t>
            </w:r>
          </w:p>
        </w:tc>
      </w:tr>
    </w:tbl>
    <w:p w:rsidR="00B634C4" w:rsidRPr="00850F61" w:rsidRDefault="00B634C4" w:rsidP="00B634C4">
      <w:pPr>
        <w:rPr>
          <w:sz w:val="18"/>
          <w:szCs w:val="18"/>
        </w:rPr>
      </w:pPr>
      <w:r w:rsidRPr="00850F61">
        <w:rPr>
          <w:sz w:val="18"/>
          <w:szCs w:val="18"/>
        </w:rPr>
        <w:t>*All costs noted as $ per measure unit</w:t>
      </w:r>
    </w:p>
    <w:p w:rsidR="00B634C4" w:rsidRPr="00850F61" w:rsidRDefault="00B634C4" w:rsidP="00B634C4">
      <w:pPr>
        <w:rPr>
          <w:sz w:val="18"/>
          <w:szCs w:val="18"/>
        </w:rPr>
      </w:pPr>
      <w:r w:rsidRPr="00850F61">
        <w:rPr>
          <w:sz w:val="18"/>
          <w:szCs w:val="18"/>
        </w:rPr>
        <w:t xml:space="preserve">**For Cost Data See </w:t>
      </w:r>
      <w:r w:rsidR="00745559" w:rsidRPr="00850F61">
        <w:rPr>
          <w:sz w:val="18"/>
          <w:szCs w:val="18"/>
        </w:rPr>
        <w:t>A</w:t>
      </w:r>
      <w:r w:rsidR="00A96883" w:rsidRPr="00850F61">
        <w:rPr>
          <w:sz w:val="18"/>
          <w:szCs w:val="18"/>
        </w:rPr>
        <w:t>ttachment</w:t>
      </w:r>
      <w:r w:rsidR="00745559" w:rsidRPr="00850F61">
        <w:rPr>
          <w:sz w:val="18"/>
          <w:szCs w:val="18"/>
        </w:rPr>
        <w:t xml:space="preserve"> B</w:t>
      </w:r>
      <w:r w:rsidR="00A96883" w:rsidRPr="00850F61">
        <w:rPr>
          <w:sz w:val="18"/>
          <w:szCs w:val="18"/>
        </w:rPr>
        <w:t xml:space="preserve"> “Cost Information”</w:t>
      </w:r>
      <w:r w:rsidR="00745559" w:rsidRPr="00850F61">
        <w:rPr>
          <w:sz w:val="18"/>
          <w:szCs w:val="18"/>
        </w:rPr>
        <w:t xml:space="preserve"> </w:t>
      </w:r>
    </w:p>
    <w:p w:rsidR="00A77FBA" w:rsidRDefault="007927FC" w:rsidP="006C578E">
      <w:pPr>
        <w:pStyle w:val="Heading2"/>
      </w:pPr>
      <w:bookmarkStart w:id="77" w:name="_Toc386465506"/>
      <w:r>
        <w:t>4.3</w:t>
      </w:r>
      <w:r w:rsidR="00E16609" w:rsidRPr="00E95FA2">
        <w:t xml:space="preserve"> Gross Measure Cost</w:t>
      </w:r>
      <w:bookmarkEnd w:id="75"/>
      <w:bookmarkEnd w:id="77"/>
    </w:p>
    <w:p w:rsidR="007927FC" w:rsidRDefault="007927FC" w:rsidP="007927FC">
      <w:r>
        <w:t xml:space="preserve">Gross Measure Cost is the cost to install an energy efficient measure per the CPUC calculators. This definition implies a different meaning depending on the install type.  </w:t>
      </w:r>
    </w:p>
    <w:p w:rsidR="007927FC" w:rsidRDefault="007927FC" w:rsidP="007927FC">
      <w:r>
        <w:t>This measure transaction type includes: ROB, so the Gross Measure Cost (GMC) is represented by the equation below:</w:t>
      </w:r>
    </w:p>
    <w:p w:rsidR="007927FC" w:rsidRDefault="007927FC" w:rsidP="007927FC"/>
    <w:p w:rsidR="007927FC" w:rsidRDefault="007927FC" w:rsidP="007927FC">
      <w:r>
        <w:t>GMC = (Measure Equipment Cost + Measure Labor Cost) –</w:t>
      </w:r>
    </w:p>
    <w:p w:rsidR="007927FC" w:rsidRDefault="007927FC" w:rsidP="007927FC">
      <w:r>
        <w:t xml:space="preserve">    (Base Case Equipment Cost + Base Case Labor Cost)</w:t>
      </w:r>
    </w:p>
    <w:p w:rsidR="007927FC" w:rsidRDefault="007927FC" w:rsidP="007927FC"/>
    <w:p w:rsidR="007927FC" w:rsidRDefault="007927FC" w:rsidP="007927FC">
      <w:r>
        <w:t>*Note: We assume that, unless stated otherwise, the measure case labor and base case labor are assumed to be the same value reducing the equation to the following:</w:t>
      </w:r>
    </w:p>
    <w:p w:rsidR="007927FC" w:rsidRDefault="007927FC" w:rsidP="007927FC">
      <w:r>
        <w:t>GMC = Measure Equipment Cost – Base Case Equipment Cost</w:t>
      </w:r>
    </w:p>
    <w:p w:rsidR="007927FC" w:rsidRDefault="007927FC" w:rsidP="007927FC"/>
    <w:p w:rsidR="007927FC" w:rsidRDefault="007927FC" w:rsidP="007927FC">
      <w:r>
        <w:t xml:space="preserve">GMCR4, </w:t>
      </w:r>
      <w:proofErr w:type="gramStart"/>
      <w:r>
        <w:t>ROB  =</w:t>
      </w:r>
      <w:proofErr w:type="gramEnd"/>
      <w:r>
        <w:t xml:space="preserve"> $1,254.65</w:t>
      </w:r>
      <w:r w:rsidR="00A1407D">
        <w:t xml:space="preserve"> </w:t>
      </w:r>
      <w:r>
        <w:t>/</w:t>
      </w:r>
      <w:r w:rsidR="00A1407D">
        <w:t xml:space="preserve"> </w:t>
      </w:r>
      <w:proofErr w:type="spellStart"/>
      <w:r>
        <w:t>ft</w:t>
      </w:r>
      <w:proofErr w:type="spellEnd"/>
      <w:r>
        <w:t xml:space="preserve"> </w:t>
      </w:r>
      <w:r w:rsidR="00A1407D">
        <w:t xml:space="preserve"> </w:t>
      </w:r>
      <w:r>
        <w:t>-</w:t>
      </w:r>
      <w:r w:rsidR="00A1407D">
        <w:t xml:space="preserve"> </w:t>
      </w:r>
      <w:r>
        <w:t xml:space="preserve"> $800.15</w:t>
      </w:r>
      <w:r w:rsidR="00A1407D">
        <w:t xml:space="preserve"> </w:t>
      </w:r>
      <w:r>
        <w:t>/</w:t>
      </w:r>
      <w:r w:rsidR="00A1407D">
        <w:t xml:space="preserve"> </w:t>
      </w:r>
      <w:proofErr w:type="spellStart"/>
      <w:r>
        <w:t>ft</w:t>
      </w:r>
      <w:proofErr w:type="spellEnd"/>
      <w:r>
        <w:t xml:space="preserve"> </w:t>
      </w:r>
      <w:r w:rsidR="00A1407D">
        <w:t xml:space="preserve"> </w:t>
      </w:r>
      <w:r>
        <w:t xml:space="preserve">= </w:t>
      </w:r>
      <w:r w:rsidRPr="00152E1D">
        <w:rPr>
          <w:b/>
        </w:rPr>
        <w:t>$211.27</w:t>
      </w:r>
      <w:r w:rsidR="00A1407D">
        <w:rPr>
          <w:b/>
        </w:rPr>
        <w:t xml:space="preserve"> </w:t>
      </w:r>
      <w:r w:rsidRPr="00152E1D">
        <w:rPr>
          <w:b/>
        </w:rPr>
        <w:t>/</w:t>
      </w:r>
      <w:r w:rsidR="00A1407D">
        <w:rPr>
          <w:b/>
        </w:rPr>
        <w:t xml:space="preserve"> </w:t>
      </w:r>
      <w:proofErr w:type="spellStart"/>
      <w:r w:rsidRPr="00152E1D">
        <w:rPr>
          <w:b/>
        </w:rPr>
        <w:t>ft</w:t>
      </w:r>
      <w:proofErr w:type="spellEnd"/>
    </w:p>
    <w:p w:rsidR="007927FC" w:rsidRDefault="007927FC" w:rsidP="007927FC">
      <w:r>
        <w:t xml:space="preserve">GMCR5, </w:t>
      </w:r>
      <w:proofErr w:type="gramStart"/>
      <w:r>
        <w:t>ROB  =</w:t>
      </w:r>
      <w:proofErr w:type="gramEnd"/>
      <w:r>
        <w:t xml:space="preserve"> $1,122.10</w:t>
      </w:r>
      <w:r w:rsidR="00A1407D">
        <w:t xml:space="preserve"> </w:t>
      </w:r>
      <w:r>
        <w:t>/</w:t>
      </w:r>
      <w:r w:rsidR="00A1407D">
        <w:t xml:space="preserve"> </w:t>
      </w:r>
      <w:proofErr w:type="spellStart"/>
      <w:r>
        <w:t>ft</w:t>
      </w:r>
      <w:proofErr w:type="spellEnd"/>
      <w:r w:rsidR="00A1407D">
        <w:t xml:space="preserve"> </w:t>
      </w:r>
      <w:r>
        <w:t xml:space="preserve"> -</w:t>
      </w:r>
      <w:r w:rsidR="00A1407D">
        <w:t xml:space="preserve"> </w:t>
      </w:r>
      <w:r>
        <w:t xml:space="preserve"> $800.15</w:t>
      </w:r>
      <w:r w:rsidR="00A1407D">
        <w:t xml:space="preserve"> </w:t>
      </w:r>
      <w:r>
        <w:t>/</w:t>
      </w:r>
      <w:r w:rsidR="00A1407D">
        <w:t xml:space="preserve"> </w:t>
      </w:r>
      <w:proofErr w:type="spellStart"/>
      <w:r>
        <w:t>ft</w:t>
      </w:r>
      <w:proofErr w:type="spellEnd"/>
      <w:r>
        <w:t xml:space="preserve"> </w:t>
      </w:r>
      <w:r w:rsidR="00A1407D">
        <w:t xml:space="preserve"> = </w:t>
      </w:r>
      <w:r w:rsidRPr="00152E1D">
        <w:rPr>
          <w:b/>
        </w:rPr>
        <w:t>$321.95</w:t>
      </w:r>
      <w:r w:rsidR="00A1407D">
        <w:rPr>
          <w:b/>
        </w:rPr>
        <w:t xml:space="preserve"> </w:t>
      </w:r>
      <w:r w:rsidRPr="00152E1D">
        <w:rPr>
          <w:b/>
        </w:rPr>
        <w:t>/</w:t>
      </w:r>
      <w:r w:rsidR="00A1407D">
        <w:rPr>
          <w:b/>
        </w:rPr>
        <w:t xml:space="preserve"> </w:t>
      </w:r>
      <w:proofErr w:type="spellStart"/>
      <w:r w:rsidRPr="00152E1D">
        <w:rPr>
          <w:b/>
        </w:rPr>
        <w:t>ft</w:t>
      </w:r>
      <w:proofErr w:type="spellEnd"/>
    </w:p>
    <w:p w:rsidR="007927FC" w:rsidRDefault="007927FC" w:rsidP="007927FC"/>
    <w:p w:rsidR="007927FC" w:rsidRDefault="007927FC" w:rsidP="007927FC">
      <w:r>
        <w:t>*Note: Various complicated price fluctuations are not addressed in these equations, such as future costs due to inflation in labor, future costs due to deflation in material cost, and other variables that cannot be accurately described at this time.</w:t>
      </w:r>
    </w:p>
    <w:p w:rsidR="00E16609" w:rsidRPr="00E95FA2" w:rsidRDefault="00C1743F" w:rsidP="006C578E">
      <w:pPr>
        <w:pStyle w:val="Heading2"/>
      </w:pPr>
      <w:bookmarkStart w:id="78" w:name="_Toc386465507"/>
      <w:bookmarkStart w:id="79" w:name="_Toc214003099"/>
      <w:r>
        <w:t>4.4</w:t>
      </w:r>
      <w:r w:rsidR="00E16609" w:rsidRPr="00E95FA2">
        <w:t xml:space="preserve"> Incremental Measure Cost</w:t>
      </w:r>
      <w:bookmarkEnd w:id="78"/>
    </w:p>
    <w:p w:rsidR="00B266D4" w:rsidRPr="00B266D4" w:rsidRDefault="00B266D4" w:rsidP="00B266D4">
      <w:r w:rsidRPr="00B266D4">
        <w:t xml:space="preserve">Incremental Measure Cost is the premium cost to install an energy efficient measure over a standard efficiency measure or code baseline measure.  While IMC has a straight forward definition depending on the install type, the equation does vary.  </w:t>
      </w:r>
    </w:p>
    <w:p w:rsidR="00B266D4" w:rsidRPr="00B266D4" w:rsidRDefault="00B266D4" w:rsidP="00B266D4"/>
    <w:p w:rsidR="00B266D4" w:rsidRPr="00B266D4" w:rsidRDefault="00B266D4" w:rsidP="00B266D4">
      <w:r w:rsidRPr="00B266D4">
        <w:t xml:space="preserve">This measure transaction type includes </w:t>
      </w:r>
      <w:r w:rsidRPr="00B266D4">
        <w:rPr>
          <w:b/>
        </w:rPr>
        <w:t>ROB</w:t>
      </w:r>
      <w:r w:rsidRPr="00B266D4">
        <w:t xml:space="preserve"> </w:t>
      </w:r>
      <w:r w:rsidR="0079030A">
        <w:t xml:space="preserve">only </w:t>
      </w:r>
      <w:r w:rsidRPr="00B266D4">
        <w:t>so the Gross Measure Cost (GMC) is represented by the equation below:</w:t>
      </w:r>
    </w:p>
    <w:p w:rsidR="00B266D4" w:rsidRPr="00B266D4" w:rsidRDefault="00B266D4" w:rsidP="00B266D4"/>
    <w:p w:rsidR="00B266D4" w:rsidRPr="00B266D4" w:rsidRDefault="00B266D4" w:rsidP="00B266D4">
      <w:r w:rsidRPr="00B266D4">
        <w:t>IMC = (Measure Equipment Cost + Measure Labor Cost) –</w:t>
      </w:r>
    </w:p>
    <w:p w:rsidR="00B266D4" w:rsidRPr="00B266D4" w:rsidRDefault="00B266D4" w:rsidP="00B266D4">
      <w:r w:rsidRPr="00B266D4">
        <w:t xml:space="preserve">    (Base Case Equipment Cost + Base Case Labor Cost)</w:t>
      </w:r>
    </w:p>
    <w:p w:rsidR="00B266D4" w:rsidRPr="00B266D4" w:rsidRDefault="00B266D4" w:rsidP="00B266D4">
      <w:pPr>
        <w:rPr>
          <w:b/>
        </w:rPr>
      </w:pPr>
    </w:p>
    <w:p w:rsidR="00B266D4" w:rsidRPr="00B266D4" w:rsidRDefault="00B266D4" w:rsidP="00B266D4">
      <w:r w:rsidRPr="00B266D4">
        <w:t>*Note: Unless stated otherwise the measure case labor and base case labor are assumed to be the same value reducing the equation to the following:</w:t>
      </w:r>
    </w:p>
    <w:p w:rsidR="00B266D4" w:rsidRPr="00B266D4" w:rsidRDefault="00B266D4" w:rsidP="00B266D4"/>
    <w:p w:rsidR="00B266D4" w:rsidRPr="00B266D4" w:rsidRDefault="00B266D4" w:rsidP="00B266D4">
      <w:r w:rsidRPr="00B266D4">
        <w:t>IMC = Measure Equipment Cost – Base Case Equipment Cost</w:t>
      </w:r>
    </w:p>
    <w:p w:rsidR="00B266D4" w:rsidRPr="00B266D4" w:rsidRDefault="00B266D4" w:rsidP="00B266D4">
      <w:pPr>
        <w:rPr>
          <w:i/>
        </w:rPr>
      </w:pPr>
    </w:p>
    <w:p w:rsidR="00B266D4" w:rsidRDefault="00652589" w:rsidP="00553927">
      <w:pPr>
        <w:pStyle w:val="Caption"/>
      </w:pPr>
      <w:bookmarkStart w:id="80" w:name="_Toc386632094"/>
      <w:r>
        <w:t xml:space="preserve">Table </w:t>
      </w:r>
      <w:r w:rsidR="00591A33">
        <w:t>10</w:t>
      </w:r>
      <w:r>
        <w:t xml:space="preserve"> Summary of Section 4 Costs</w:t>
      </w:r>
      <w:bookmarkEnd w:id="80"/>
    </w:p>
    <w:p w:rsidR="00553927" w:rsidRPr="00553927" w:rsidRDefault="00553927" w:rsidP="00553927"/>
    <w:tbl>
      <w:tblPr>
        <w:tblStyle w:val="TableContemporary"/>
        <w:tblW w:w="5000" w:type="pct"/>
        <w:tblLook w:val="00A0" w:firstRow="1" w:lastRow="0" w:firstColumn="1" w:lastColumn="0" w:noHBand="0" w:noVBand="0"/>
      </w:tblPr>
      <w:tblGrid>
        <w:gridCol w:w="1451"/>
        <w:gridCol w:w="1854"/>
        <w:gridCol w:w="1605"/>
        <w:gridCol w:w="1415"/>
        <w:gridCol w:w="1412"/>
        <w:gridCol w:w="1839"/>
      </w:tblGrid>
      <w:tr w:rsidR="00B266D4" w:rsidRPr="00B266D4" w:rsidTr="00447B35">
        <w:trPr>
          <w:cnfStyle w:val="100000000000" w:firstRow="1" w:lastRow="0" w:firstColumn="0" w:lastColumn="0" w:oddVBand="0" w:evenVBand="0" w:oddHBand="0" w:evenHBand="0" w:firstRowFirstColumn="0" w:firstRowLastColumn="0" w:lastRowFirstColumn="0" w:lastRowLastColumn="0"/>
        </w:trPr>
        <w:tc>
          <w:tcPr>
            <w:tcW w:w="758" w:type="pct"/>
            <w:vAlign w:val="center"/>
          </w:tcPr>
          <w:p w:rsidR="00B266D4" w:rsidRPr="007C4274" w:rsidRDefault="00B266D4" w:rsidP="00447B35">
            <w:pPr>
              <w:jc w:val="center"/>
            </w:pPr>
            <w:r w:rsidRPr="007C4274">
              <w:t>Measure ID</w:t>
            </w:r>
          </w:p>
        </w:tc>
        <w:tc>
          <w:tcPr>
            <w:tcW w:w="968" w:type="pct"/>
            <w:vAlign w:val="center"/>
          </w:tcPr>
          <w:p w:rsidR="00B266D4" w:rsidRPr="007C4274" w:rsidRDefault="00B266D4" w:rsidP="00447B35">
            <w:pPr>
              <w:jc w:val="center"/>
            </w:pPr>
            <w:r w:rsidRPr="007C4274">
              <w:t>Transaction Type</w:t>
            </w:r>
          </w:p>
        </w:tc>
        <w:tc>
          <w:tcPr>
            <w:tcW w:w="838" w:type="pct"/>
            <w:vAlign w:val="center"/>
          </w:tcPr>
          <w:p w:rsidR="00B266D4" w:rsidRPr="007C4274" w:rsidRDefault="00B266D4" w:rsidP="00447B35">
            <w:pPr>
              <w:jc w:val="center"/>
            </w:pPr>
            <w:r w:rsidRPr="007C4274">
              <w:t>Base Case Total Cost</w:t>
            </w:r>
          </w:p>
        </w:tc>
        <w:tc>
          <w:tcPr>
            <w:tcW w:w="739" w:type="pct"/>
            <w:vAlign w:val="center"/>
          </w:tcPr>
          <w:p w:rsidR="00B266D4" w:rsidRPr="007C4274" w:rsidRDefault="00B266D4" w:rsidP="00447B35">
            <w:pPr>
              <w:jc w:val="center"/>
            </w:pPr>
            <w:r w:rsidRPr="007C4274">
              <w:t>Measure Case Total Cost</w:t>
            </w:r>
          </w:p>
        </w:tc>
        <w:tc>
          <w:tcPr>
            <w:tcW w:w="737" w:type="pct"/>
            <w:vAlign w:val="center"/>
          </w:tcPr>
          <w:p w:rsidR="00B266D4" w:rsidRPr="007C4274" w:rsidRDefault="00B266D4" w:rsidP="00447B35">
            <w:pPr>
              <w:jc w:val="center"/>
            </w:pPr>
            <w:r w:rsidRPr="007C4274">
              <w:t>Gross Measure Case Cost</w:t>
            </w:r>
          </w:p>
        </w:tc>
        <w:tc>
          <w:tcPr>
            <w:tcW w:w="960" w:type="pct"/>
            <w:vAlign w:val="center"/>
          </w:tcPr>
          <w:p w:rsidR="00B266D4" w:rsidRPr="007C4274" w:rsidRDefault="00B266D4" w:rsidP="00447B35">
            <w:pPr>
              <w:jc w:val="center"/>
            </w:pPr>
            <w:r w:rsidRPr="007C4274">
              <w:t>Incremental Measure Cost</w:t>
            </w:r>
          </w:p>
        </w:tc>
      </w:tr>
      <w:tr w:rsidR="00B266D4" w:rsidRPr="00B266D4" w:rsidTr="00447B35">
        <w:trPr>
          <w:cnfStyle w:val="000000100000" w:firstRow="0" w:lastRow="0" w:firstColumn="0" w:lastColumn="0" w:oddVBand="0" w:evenVBand="0" w:oddHBand="1" w:evenHBand="0" w:firstRowFirstColumn="0" w:firstRowLastColumn="0" w:lastRowFirstColumn="0" w:lastRowLastColumn="0"/>
        </w:trPr>
        <w:tc>
          <w:tcPr>
            <w:tcW w:w="758" w:type="pct"/>
            <w:vAlign w:val="center"/>
          </w:tcPr>
          <w:p w:rsidR="00B266D4" w:rsidRPr="007C4274" w:rsidRDefault="00B266D4" w:rsidP="00447B35">
            <w:pPr>
              <w:jc w:val="center"/>
            </w:pPr>
            <w:r w:rsidRPr="007C4274">
              <w:t>R4</w:t>
            </w:r>
          </w:p>
        </w:tc>
        <w:tc>
          <w:tcPr>
            <w:tcW w:w="968" w:type="pct"/>
            <w:vAlign w:val="center"/>
          </w:tcPr>
          <w:p w:rsidR="00B266D4" w:rsidRPr="007C4274" w:rsidRDefault="00B266D4" w:rsidP="00447B35">
            <w:pPr>
              <w:jc w:val="center"/>
            </w:pPr>
            <w:r w:rsidRPr="007C4274">
              <w:t>ROB</w:t>
            </w:r>
          </w:p>
        </w:tc>
        <w:tc>
          <w:tcPr>
            <w:tcW w:w="838" w:type="pct"/>
            <w:vAlign w:val="center"/>
          </w:tcPr>
          <w:p w:rsidR="00B266D4" w:rsidRPr="007C4274" w:rsidRDefault="00B266D4" w:rsidP="00447B35">
            <w:pPr>
              <w:jc w:val="center"/>
            </w:pPr>
            <w:r w:rsidRPr="007C4274">
              <w:t>$1,043.38</w:t>
            </w:r>
          </w:p>
        </w:tc>
        <w:tc>
          <w:tcPr>
            <w:tcW w:w="739" w:type="pct"/>
            <w:vAlign w:val="center"/>
          </w:tcPr>
          <w:p w:rsidR="00B266D4" w:rsidRPr="007C4274" w:rsidRDefault="00B266D4" w:rsidP="00447B35">
            <w:pPr>
              <w:jc w:val="center"/>
            </w:pPr>
            <w:r w:rsidRPr="007C4274">
              <w:t>$1,254.65</w:t>
            </w:r>
          </w:p>
        </w:tc>
        <w:tc>
          <w:tcPr>
            <w:tcW w:w="737" w:type="pct"/>
            <w:vAlign w:val="center"/>
          </w:tcPr>
          <w:p w:rsidR="00B266D4" w:rsidRPr="007C4274" w:rsidRDefault="00B266D4" w:rsidP="00447B35">
            <w:pPr>
              <w:jc w:val="center"/>
            </w:pPr>
            <w:r w:rsidRPr="007C4274">
              <w:t>$211.27</w:t>
            </w:r>
          </w:p>
        </w:tc>
        <w:tc>
          <w:tcPr>
            <w:tcW w:w="960" w:type="pct"/>
            <w:vAlign w:val="center"/>
          </w:tcPr>
          <w:p w:rsidR="00B266D4" w:rsidRPr="007C4274" w:rsidRDefault="00B266D4" w:rsidP="00447B35">
            <w:pPr>
              <w:jc w:val="center"/>
            </w:pPr>
            <w:r w:rsidRPr="007C4274">
              <w:t>$211.27</w:t>
            </w:r>
          </w:p>
        </w:tc>
      </w:tr>
      <w:tr w:rsidR="00B266D4" w:rsidRPr="00B266D4" w:rsidTr="00447B35">
        <w:trPr>
          <w:cnfStyle w:val="000000010000" w:firstRow="0" w:lastRow="0" w:firstColumn="0" w:lastColumn="0" w:oddVBand="0" w:evenVBand="0" w:oddHBand="0" w:evenHBand="1" w:firstRowFirstColumn="0" w:firstRowLastColumn="0" w:lastRowFirstColumn="0" w:lastRowLastColumn="0"/>
        </w:trPr>
        <w:tc>
          <w:tcPr>
            <w:tcW w:w="758" w:type="pct"/>
            <w:vAlign w:val="center"/>
          </w:tcPr>
          <w:p w:rsidR="00B266D4" w:rsidRPr="007C4274" w:rsidRDefault="00B266D4" w:rsidP="00447B35">
            <w:pPr>
              <w:jc w:val="center"/>
              <w:rPr>
                <w:b/>
              </w:rPr>
            </w:pPr>
            <w:r w:rsidRPr="007C4274">
              <w:t>R5</w:t>
            </w:r>
          </w:p>
        </w:tc>
        <w:tc>
          <w:tcPr>
            <w:tcW w:w="968" w:type="pct"/>
            <w:vAlign w:val="center"/>
          </w:tcPr>
          <w:p w:rsidR="00B266D4" w:rsidRPr="007C4274" w:rsidRDefault="00B266D4" w:rsidP="00447B35">
            <w:pPr>
              <w:jc w:val="center"/>
              <w:rPr>
                <w:b/>
              </w:rPr>
            </w:pPr>
            <w:r w:rsidRPr="007C4274">
              <w:t>ROB</w:t>
            </w:r>
          </w:p>
        </w:tc>
        <w:tc>
          <w:tcPr>
            <w:tcW w:w="838" w:type="pct"/>
            <w:vAlign w:val="center"/>
          </w:tcPr>
          <w:p w:rsidR="00B266D4" w:rsidRPr="007C4274" w:rsidRDefault="00B266D4" w:rsidP="00447B35">
            <w:pPr>
              <w:jc w:val="center"/>
              <w:rPr>
                <w:b/>
              </w:rPr>
            </w:pPr>
            <w:r w:rsidRPr="007C4274">
              <w:t>$800.15</w:t>
            </w:r>
          </w:p>
        </w:tc>
        <w:tc>
          <w:tcPr>
            <w:tcW w:w="739" w:type="pct"/>
            <w:vAlign w:val="center"/>
          </w:tcPr>
          <w:p w:rsidR="00B266D4" w:rsidRPr="007C4274" w:rsidRDefault="00B266D4" w:rsidP="00447B35">
            <w:pPr>
              <w:jc w:val="center"/>
              <w:rPr>
                <w:b/>
              </w:rPr>
            </w:pPr>
            <w:r w:rsidRPr="007C4274">
              <w:t>$800.15</w:t>
            </w:r>
          </w:p>
        </w:tc>
        <w:tc>
          <w:tcPr>
            <w:tcW w:w="737" w:type="pct"/>
            <w:vAlign w:val="center"/>
          </w:tcPr>
          <w:p w:rsidR="00B266D4" w:rsidRPr="007C4274" w:rsidRDefault="00B266D4" w:rsidP="00447B35">
            <w:pPr>
              <w:jc w:val="center"/>
              <w:rPr>
                <w:b/>
              </w:rPr>
            </w:pPr>
            <w:r w:rsidRPr="007C4274">
              <w:t>$321.95</w:t>
            </w:r>
          </w:p>
        </w:tc>
        <w:tc>
          <w:tcPr>
            <w:tcW w:w="960" w:type="pct"/>
            <w:vAlign w:val="center"/>
          </w:tcPr>
          <w:p w:rsidR="00B266D4" w:rsidRPr="007C4274" w:rsidRDefault="00B266D4" w:rsidP="00447B35">
            <w:pPr>
              <w:jc w:val="center"/>
              <w:rPr>
                <w:b/>
              </w:rPr>
            </w:pPr>
            <w:r w:rsidRPr="007C4274">
              <w:t>$321.95</w:t>
            </w:r>
          </w:p>
        </w:tc>
      </w:tr>
    </w:tbl>
    <w:p w:rsidR="00E16609" w:rsidRPr="00E95FA2" w:rsidRDefault="00E16609" w:rsidP="00E16609">
      <w:pPr>
        <w:rPr>
          <w:sz w:val="22"/>
          <w:szCs w:val="22"/>
        </w:rPr>
      </w:pPr>
      <w:r w:rsidRPr="00E95FA2">
        <w:rPr>
          <w:sz w:val="22"/>
          <w:szCs w:val="22"/>
        </w:rPr>
        <w:br w:type="page"/>
      </w:r>
    </w:p>
    <w:p w:rsidR="00E16609" w:rsidRPr="00E95FA2" w:rsidRDefault="00E16609" w:rsidP="006C578E">
      <w:pPr>
        <w:pStyle w:val="Heading1"/>
      </w:pPr>
      <w:bookmarkStart w:id="81" w:name="_Toc386465508"/>
      <w:bookmarkEnd w:id="79"/>
      <w:r w:rsidRPr="00E95FA2">
        <w:t>Attachments</w:t>
      </w:r>
      <w:bookmarkEnd w:id="81"/>
    </w:p>
    <w:p w:rsidR="002E1E1A" w:rsidRDefault="002E1E1A" w:rsidP="002E1E1A">
      <w:bookmarkStart w:id="82" w:name="_MON_1400311270"/>
      <w:bookmarkStart w:id="83" w:name="_MON_1400150451"/>
      <w:bookmarkStart w:id="84" w:name="_MON_1400312578"/>
      <w:bookmarkStart w:id="85" w:name="_MON_1400150838"/>
      <w:bookmarkStart w:id="86" w:name="_MON_1400134516"/>
      <w:bookmarkEnd w:id="82"/>
      <w:bookmarkEnd w:id="83"/>
      <w:bookmarkEnd w:id="84"/>
      <w:bookmarkEnd w:id="85"/>
      <w:bookmarkEnd w:id="86"/>
    </w:p>
    <w:p w:rsidR="002E1E1A" w:rsidRDefault="002E1E1A" w:rsidP="002E1E1A">
      <w:pPr>
        <w:pStyle w:val="ListParagraph"/>
        <w:numPr>
          <w:ilvl w:val="0"/>
          <w:numId w:val="20"/>
        </w:numPr>
      </w:pPr>
      <w:r>
        <w:t>Case Specifications</w:t>
      </w:r>
      <w:r w:rsidR="003C2980">
        <w:tab/>
      </w:r>
    </w:p>
    <w:p w:rsidR="002E1E1A" w:rsidRDefault="002E1E1A" w:rsidP="002E1E1A"/>
    <w:p w:rsidR="002E1E1A" w:rsidRDefault="002E1E1A" w:rsidP="002E1E1A">
      <w:pPr>
        <w:pStyle w:val="ListParagraph"/>
        <w:numPr>
          <w:ilvl w:val="0"/>
          <w:numId w:val="20"/>
        </w:numPr>
      </w:pPr>
      <w:r>
        <w:t>Cost Information</w:t>
      </w:r>
    </w:p>
    <w:p w:rsidR="002E1E1A" w:rsidRDefault="002E1E1A" w:rsidP="002E1E1A">
      <w:pPr>
        <w:pStyle w:val="ListParagraph"/>
      </w:pPr>
    </w:p>
    <w:p w:rsidR="002E1E1A" w:rsidRDefault="002E1E1A" w:rsidP="002E1E1A">
      <w:pPr>
        <w:pStyle w:val="ListParagraph"/>
        <w:numPr>
          <w:ilvl w:val="0"/>
          <w:numId w:val="20"/>
        </w:numPr>
      </w:pPr>
      <w:bookmarkStart w:id="87" w:name="OLE_LINK1"/>
      <w:r>
        <w:t>DEER2011_NTGR_2012-05-16</w:t>
      </w:r>
    </w:p>
    <w:bookmarkEnd w:id="87"/>
    <w:p w:rsidR="002E1E1A" w:rsidRDefault="002E1E1A" w:rsidP="002E1E1A">
      <w:pPr>
        <w:pStyle w:val="ListParagraph"/>
      </w:pPr>
    </w:p>
    <w:p w:rsidR="002E1E1A" w:rsidRDefault="002E1E1A" w:rsidP="002E1E1A">
      <w:pPr>
        <w:pStyle w:val="ListParagraph"/>
        <w:numPr>
          <w:ilvl w:val="0"/>
          <w:numId w:val="20"/>
        </w:numPr>
      </w:pPr>
      <w:r>
        <w:t>Final Results</w:t>
      </w:r>
    </w:p>
    <w:p w:rsidR="002E1E1A" w:rsidRDefault="002E1E1A" w:rsidP="002E1E1A">
      <w:pPr>
        <w:pStyle w:val="ListParagraph"/>
      </w:pPr>
    </w:p>
    <w:p w:rsidR="002E1E1A" w:rsidRDefault="002E1E1A" w:rsidP="002E1E1A">
      <w:pPr>
        <w:pStyle w:val="ListParagraph"/>
        <w:numPr>
          <w:ilvl w:val="0"/>
          <w:numId w:val="20"/>
        </w:numPr>
      </w:pPr>
      <w:r>
        <w:t>Keyword Changes</w:t>
      </w:r>
    </w:p>
    <w:p w:rsidR="002E1E1A" w:rsidRDefault="002E1E1A" w:rsidP="002E1E1A">
      <w:pPr>
        <w:pStyle w:val="ListParagraph"/>
      </w:pPr>
    </w:p>
    <w:p w:rsidR="002E1E1A" w:rsidRDefault="002E1E1A" w:rsidP="002E1E1A">
      <w:pPr>
        <w:pStyle w:val="ListParagraph"/>
        <w:numPr>
          <w:ilvl w:val="0"/>
          <w:numId w:val="20"/>
        </w:numPr>
      </w:pPr>
      <w:r>
        <w:t>LT Results</w:t>
      </w:r>
    </w:p>
    <w:p w:rsidR="002E1E1A" w:rsidRDefault="002E1E1A" w:rsidP="002E1E1A">
      <w:pPr>
        <w:pStyle w:val="ListParagraph"/>
      </w:pPr>
    </w:p>
    <w:p w:rsidR="002E1E1A" w:rsidRDefault="002E1E1A" w:rsidP="002E1E1A">
      <w:pPr>
        <w:pStyle w:val="ListParagraph"/>
        <w:numPr>
          <w:ilvl w:val="0"/>
          <w:numId w:val="20"/>
        </w:numPr>
      </w:pPr>
      <w:r>
        <w:t>MT Results</w:t>
      </w:r>
    </w:p>
    <w:p w:rsidR="002E1E1A" w:rsidRDefault="002E1E1A" w:rsidP="00F44AB5"/>
    <w:p w:rsidR="002E1E1A" w:rsidRDefault="002E1E1A" w:rsidP="002E1E1A">
      <w:pPr>
        <w:pStyle w:val="ListParagraph"/>
        <w:numPr>
          <w:ilvl w:val="0"/>
          <w:numId w:val="20"/>
        </w:numPr>
      </w:pPr>
      <w:r>
        <w:t>Refrigerated Case Specifications</w:t>
      </w:r>
    </w:p>
    <w:p w:rsidR="003D6A4E" w:rsidRDefault="003D6A4E" w:rsidP="000D13C0"/>
    <w:p w:rsidR="003D6A4E" w:rsidRDefault="003D6A4E" w:rsidP="002E1E1A">
      <w:pPr>
        <w:pStyle w:val="ListParagraph"/>
        <w:numPr>
          <w:ilvl w:val="0"/>
          <w:numId w:val="20"/>
        </w:numPr>
      </w:pPr>
      <w:r>
        <w:t>DEER 2014 Peak Demand Hours by Climate Zone</w:t>
      </w:r>
    </w:p>
    <w:p w:rsidR="00C47FBE" w:rsidRDefault="00C47FBE" w:rsidP="00C47FBE">
      <w:pPr>
        <w:pStyle w:val="ListParagraph"/>
      </w:pPr>
    </w:p>
    <w:p w:rsidR="00C47FBE" w:rsidRPr="00E56C0E" w:rsidRDefault="00E56C0E" w:rsidP="002E1E1A">
      <w:pPr>
        <w:pStyle w:val="ListParagraph"/>
        <w:numPr>
          <w:ilvl w:val="0"/>
          <w:numId w:val="20"/>
        </w:numPr>
      </w:pPr>
      <w:r w:rsidRPr="00E56C0E">
        <w:t>PGECOREF104 R5 Display Cases with Doors Measure Summary</w:t>
      </w:r>
    </w:p>
    <w:p w:rsidR="002E1E1A" w:rsidRDefault="002E1E1A" w:rsidP="002E1E1A">
      <w:pPr>
        <w:pStyle w:val="ListParagraph"/>
      </w:pPr>
    </w:p>
    <w:p w:rsidR="002E1E1A" w:rsidRPr="00E95FA2" w:rsidRDefault="002E1E1A" w:rsidP="002E1E1A">
      <w:pPr>
        <w:pStyle w:val="ListParagraph"/>
      </w:pPr>
    </w:p>
    <w:p w:rsidR="00612041" w:rsidRPr="00E95FA2" w:rsidRDefault="00612041" w:rsidP="00E16609">
      <w:bookmarkStart w:id="88" w:name="_MON_1398853189"/>
      <w:bookmarkStart w:id="89" w:name="_MON_1398252330"/>
      <w:bookmarkStart w:id="90" w:name="_MON_1399886153"/>
      <w:bookmarkEnd w:id="88"/>
      <w:bookmarkEnd w:id="89"/>
      <w:bookmarkEnd w:id="90"/>
    </w:p>
    <w:p w:rsidR="00C54EFF" w:rsidRPr="00E95FA2" w:rsidRDefault="00C54EFF" w:rsidP="00E16609"/>
    <w:p w:rsidR="00C54EFF" w:rsidRPr="00E95FA2" w:rsidRDefault="00C54EFF">
      <w:pPr>
        <w:spacing w:after="200" w:line="276" w:lineRule="auto"/>
      </w:pPr>
      <w:r w:rsidRPr="00E95FA2">
        <w:br w:type="page"/>
      </w:r>
    </w:p>
    <w:p w:rsidR="002740BD" w:rsidRPr="001F2075" w:rsidRDefault="00C54EFF" w:rsidP="006C578E">
      <w:pPr>
        <w:pStyle w:val="Heading1"/>
      </w:pPr>
      <w:bookmarkStart w:id="91" w:name="_Toc386465509"/>
      <w:r w:rsidRPr="00E95FA2">
        <w:t>References</w:t>
      </w:r>
      <w:bookmarkStart w:id="92" w:name="_MON_1399089038"/>
      <w:bookmarkEnd w:id="92"/>
      <w:bookmarkEnd w:id="91"/>
    </w:p>
    <w:sectPr w:rsidR="002740BD" w:rsidRPr="001F2075" w:rsidSect="00013258">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6C5" w:rsidRDefault="006006C5" w:rsidP="00447D6E">
      <w:r>
        <w:separator/>
      </w:r>
    </w:p>
  </w:endnote>
  <w:endnote w:type="continuationSeparator" w:id="0">
    <w:p w:rsidR="006006C5" w:rsidRDefault="006006C5" w:rsidP="00447D6E">
      <w:r>
        <w:continuationSeparator/>
      </w:r>
    </w:p>
  </w:endnote>
  <w:endnote w:type="continuationNotice" w:id="1">
    <w:p w:rsidR="006006C5" w:rsidRDefault="006006C5"/>
  </w:endnote>
  <w:endnote w:id="2">
    <w:p w:rsidR="006006C5" w:rsidRDefault="006006C5">
      <w:pPr>
        <w:pStyle w:val="EndnoteText"/>
      </w:pPr>
      <w:r>
        <w:rPr>
          <w:rStyle w:val="EndnoteReference"/>
        </w:rPr>
        <w:endnoteRef/>
      </w:r>
      <w:r>
        <w:t xml:space="preserve"> ASHRAE Refrigeration Fundamentals Page 15.5 Figure 9</w:t>
      </w:r>
    </w:p>
  </w:endnote>
  <w:endnote w:id="3">
    <w:p w:rsidR="006006C5" w:rsidRDefault="006006C5">
      <w:pPr>
        <w:pStyle w:val="EndnoteText"/>
      </w:pPr>
      <w:r>
        <w:rPr>
          <w:rStyle w:val="EndnoteReference"/>
        </w:rPr>
        <w:endnoteRef/>
      </w:r>
      <w:r>
        <w:t xml:space="preserve"> </w:t>
      </w:r>
      <w:proofErr w:type="spellStart"/>
      <w:r w:rsidRPr="005B5A24">
        <w:t>Faramarzi</w:t>
      </w:r>
      <w:proofErr w:type="spellEnd"/>
      <w:r w:rsidRPr="005B5A24">
        <w:t xml:space="preserve">, R., B. Coburn, R. </w:t>
      </w:r>
      <w:proofErr w:type="spellStart"/>
      <w:r w:rsidRPr="005B5A24">
        <w:t>Sarhadian</w:t>
      </w:r>
      <w:proofErr w:type="spellEnd"/>
      <w:r w:rsidRPr="005B5A24">
        <w:t xml:space="preserve">, </w:t>
      </w:r>
      <w:proofErr w:type="spellStart"/>
      <w:r w:rsidRPr="005B5A24">
        <w:t>Rafik</w:t>
      </w:r>
      <w:proofErr w:type="spellEnd"/>
      <w:r w:rsidRPr="005B5A24">
        <w:t>. 2002. Performance and Energy Impact of Installing Glass Doors on an Open Vertical Deli/Dairy Display Case. ASHRAE Transactions: Symposia p. 678</w:t>
      </w:r>
    </w:p>
  </w:endnote>
  <w:endnote w:id="4">
    <w:p w:rsidR="006006C5" w:rsidRDefault="006006C5">
      <w:pPr>
        <w:pStyle w:val="EndnoteText"/>
      </w:pPr>
      <w:r>
        <w:rPr>
          <w:rStyle w:val="EndnoteReference"/>
        </w:rPr>
        <w:endnoteRef/>
      </w:r>
      <w:r>
        <w:t xml:space="preserve"> Brian A. Fricke, Ph.D. and Vishal Sharma, Oak Ridge National Laboratory Oak Ridge, TN 12 Aug. 2011. Isolated Sub-Dehumidification Strategies in Large Supermarkets and Grocery Stores p. 36 - 37</w:t>
      </w:r>
    </w:p>
  </w:endnote>
  <w:endnote w:id="5">
    <w:p w:rsidR="006006C5" w:rsidRDefault="006006C5">
      <w:pPr>
        <w:pStyle w:val="EndnoteText"/>
      </w:pPr>
      <w:r>
        <w:rPr>
          <w:rStyle w:val="EndnoteReference"/>
        </w:rPr>
        <w:endnoteRef/>
      </w:r>
      <w:r>
        <w:t xml:space="preserve"> Title 20 2010 Appliance Efficiency Regulations</w:t>
      </w:r>
    </w:p>
  </w:endnote>
  <w:endnote w:id="6">
    <w:p w:rsidR="006006C5" w:rsidRDefault="006006C5">
      <w:pPr>
        <w:pStyle w:val="EndnoteText"/>
      </w:pPr>
      <w:r>
        <w:rPr>
          <w:rStyle w:val="EndnoteReference"/>
        </w:rPr>
        <w:endnoteRef/>
      </w:r>
      <w:r>
        <w:t xml:space="preserve"> California Title 24</w:t>
      </w:r>
    </w:p>
  </w:endnote>
  <w:endnote w:id="7">
    <w:p w:rsidR="006006C5" w:rsidRDefault="006006C5">
      <w:pPr>
        <w:pStyle w:val="EndnoteText"/>
      </w:pPr>
      <w:r>
        <w:rPr>
          <w:rStyle w:val="EndnoteReference"/>
        </w:rPr>
        <w:endnoteRef/>
      </w:r>
      <w:r>
        <w:t xml:space="preserve"> Federal Energy Standards – Subpart C</w:t>
      </w:r>
    </w:p>
  </w:endnote>
  <w:endnote w:id="8">
    <w:p w:rsidR="006006C5" w:rsidRDefault="006006C5">
      <w:pPr>
        <w:pStyle w:val="EndnoteText"/>
      </w:pPr>
      <w:r>
        <w:rPr>
          <w:rStyle w:val="EndnoteReference"/>
        </w:rPr>
        <w:endnoteRef/>
      </w:r>
      <w:r>
        <w:t xml:space="preserve"> </w:t>
      </w:r>
      <w:proofErr w:type="spellStart"/>
      <w:r w:rsidRPr="005B5A24">
        <w:t>Faramarzi</w:t>
      </w:r>
      <w:proofErr w:type="spellEnd"/>
      <w:r w:rsidRPr="005B5A24">
        <w:t xml:space="preserve">, R., B. Coburn, R. </w:t>
      </w:r>
      <w:proofErr w:type="spellStart"/>
      <w:r w:rsidRPr="005B5A24">
        <w:t>Sarhadian</w:t>
      </w:r>
      <w:proofErr w:type="spellEnd"/>
      <w:r w:rsidRPr="005B5A24">
        <w:t xml:space="preserve">, </w:t>
      </w:r>
      <w:proofErr w:type="spellStart"/>
      <w:r w:rsidRPr="005B5A24">
        <w:t>Rafik</w:t>
      </w:r>
      <w:proofErr w:type="spellEnd"/>
      <w:r w:rsidRPr="005B5A24">
        <w:t>. 2002. Performance and Energy Impact of Installing Glass Doors on an Open Vertical Deli/Dairy Display Case. ASHRAE Transactions: Symposia p. 678</w:t>
      </w:r>
    </w:p>
  </w:endnote>
  <w:endnote w:id="9">
    <w:p w:rsidR="006006C5" w:rsidRDefault="006006C5">
      <w:pPr>
        <w:pStyle w:val="EndnoteText"/>
      </w:pPr>
      <w:r>
        <w:rPr>
          <w:rStyle w:val="EndnoteReference"/>
        </w:rPr>
        <w:endnoteRef/>
      </w:r>
      <w:r>
        <w:t xml:space="preserve"> </w:t>
      </w:r>
      <w:r w:rsidRPr="00FA229D">
        <w:t xml:space="preserve">Lindberg, U., M. </w:t>
      </w:r>
      <w:proofErr w:type="spellStart"/>
      <w:r w:rsidRPr="00FA229D">
        <w:t>Axell</w:t>
      </w:r>
      <w:proofErr w:type="spellEnd"/>
      <w:r w:rsidRPr="00FA229D">
        <w:t xml:space="preserve">, P. </w:t>
      </w:r>
      <w:proofErr w:type="spellStart"/>
      <w:r w:rsidRPr="00FA229D">
        <w:t>Fahlen</w:t>
      </w:r>
      <w:proofErr w:type="spellEnd"/>
      <w:r w:rsidRPr="00FA229D">
        <w:t>. 2010. Vertical Display Case Cabinets without and with Doors. Sustainability and Cold Chain Conference a</w:t>
      </w:r>
      <w:r>
        <w:t>t Cambridge University, pp. 5-7</w:t>
      </w:r>
    </w:p>
  </w:endnote>
  <w:endnote w:id="10">
    <w:p w:rsidR="006006C5" w:rsidRDefault="006006C5">
      <w:pPr>
        <w:pStyle w:val="EndnoteText"/>
      </w:pPr>
      <w:r>
        <w:rPr>
          <w:rStyle w:val="EndnoteReference"/>
        </w:rPr>
        <w:endnoteRef/>
      </w:r>
      <w:r>
        <w:t xml:space="preserve"> </w:t>
      </w:r>
      <w:proofErr w:type="gramStart"/>
      <w:r w:rsidRPr="00293F17">
        <w:t>Fricke, B.A. and B.R. Becker.</w:t>
      </w:r>
      <w:proofErr w:type="gramEnd"/>
      <w:r w:rsidRPr="00293F17">
        <w:t xml:space="preserve"> 2009. “Comparison of Vertical Display Cases: Energy and Productivity Impacts of Glass Doors Versus Open Vertical Display Cases”, Final report to </w:t>
      </w:r>
      <w:r>
        <w:t>ASHRAE Technical Committee 10.7</w:t>
      </w:r>
    </w:p>
  </w:endnote>
  <w:endnote w:id="11">
    <w:p w:rsidR="006006C5" w:rsidRDefault="006006C5">
      <w:pPr>
        <w:pStyle w:val="EndnoteText"/>
      </w:pPr>
      <w:r>
        <w:rPr>
          <w:rStyle w:val="EndnoteReference"/>
        </w:rPr>
        <w:endnoteRef/>
      </w:r>
      <w:r>
        <w:t xml:space="preserve"> </w:t>
      </w:r>
      <w:proofErr w:type="gramStart"/>
      <w:r w:rsidRPr="00FD7655">
        <w:t>State of California Air Resources Board.</w:t>
      </w:r>
      <w:proofErr w:type="gramEnd"/>
      <w:r w:rsidRPr="00FD7655">
        <w:t xml:space="preserve"> 2009. Inventory of Direct and Indirect GHG Emissions from Stationary Air Conditioning and Refrigeration Sources, with Special Emphasis on Retail Food Refrigeration and Unitary Air Conditioning, C</w:t>
      </w:r>
      <w:r>
        <w:t>ARB Agreement No. 06-325, p. 74</w:t>
      </w:r>
    </w:p>
  </w:endnote>
  <w:endnote w:id="12">
    <w:p w:rsidR="006006C5" w:rsidRDefault="006006C5" w:rsidP="00C22E78">
      <w:pPr>
        <w:pStyle w:val="EndnoteText"/>
      </w:pPr>
      <w:r>
        <w:rPr>
          <w:rStyle w:val="EndnoteReference"/>
        </w:rPr>
        <w:endnoteRef/>
      </w:r>
      <w:r>
        <w:t xml:space="preserve"> Brian A. Fricke, Ph.D. and Vishal Sharma, Oak Ridge National Laboratory Oak Ridge, TN 12 Aug. 2011. </w:t>
      </w:r>
      <w:proofErr w:type="gramStart"/>
      <w:r>
        <w:t>Isolated Sub-Dehumidification Strategies in Large Supermarkets and Grocery Stores p. 36 – 37.</w:t>
      </w:r>
      <w:proofErr w:type="gramEnd"/>
    </w:p>
  </w:endnote>
  <w:endnote w:id="13">
    <w:p w:rsidR="006006C5" w:rsidRDefault="006006C5">
      <w:pPr>
        <w:pStyle w:val="EndnoteText"/>
      </w:pPr>
      <w:r>
        <w:rPr>
          <w:rStyle w:val="EndnoteReference"/>
        </w:rPr>
        <w:endnoteRef/>
      </w:r>
      <w:r>
        <w:t xml:space="preserve"> Federal Energy Standards – Life Cycle Cost and Payback Period Analysis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534854"/>
      <w:docPartObj>
        <w:docPartGallery w:val="Page Numbers (Bottom of Page)"/>
        <w:docPartUnique/>
      </w:docPartObj>
    </w:sdtPr>
    <w:sdtEndPr>
      <w:rPr>
        <w:noProof/>
      </w:rPr>
    </w:sdtEndPr>
    <w:sdtContent>
      <w:p w:rsidR="006006C5" w:rsidRDefault="006006C5">
        <w:pPr>
          <w:pStyle w:val="Footer"/>
          <w:jc w:val="center"/>
        </w:pPr>
        <w:r w:rsidRPr="00745F0F">
          <w:rPr>
            <w:b/>
            <w:sz w:val="20"/>
            <w:szCs w:val="20"/>
          </w:rPr>
          <w:fldChar w:fldCharType="begin"/>
        </w:r>
        <w:r w:rsidRPr="00745F0F">
          <w:rPr>
            <w:b/>
            <w:sz w:val="20"/>
            <w:szCs w:val="20"/>
          </w:rPr>
          <w:instrText xml:space="preserve"> PAGE   \* MERGEFORMAT </w:instrText>
        </w:r>
        <w:r w:rsidRPr="00745F0F">
          <w:rPr>
            <w:b/>
            <w:sz w:val="20"/>
            <w:szCs w:val="20"/>
          </w:rPr>
          <w:fldChar w:fldCharType="separate"/>
        </w:r>
        <w:r w:rsidR="00ED7203">
          <w:rPr>
            <w:b/>
            <w:noProof/>
            <w:sz w:val="20"/>
            <w:szCs w:val="20"/>
          </w:rPr>
          <w:t>ii</w:t>
        </w:r>
        <w:r w:rsidRPr="00745F0F">
          <w:rPr>
            <w:b/>
            <w:noProof/>
            <w:sz w:val="20"/>
            <w:szCs w:val="20"/>
          </w:rPr>
          <w:fldChar w:fldCharType="end"/>
        </w:r>
      </w:p>
    </w:sdtContent>
  </w:sdt>
  <w:p w:rsidR="006006C5" w:rsidRDefault="006006C5" w:rsidP="00745F0F">
    <w:pPr>
      <w:pStyle w:val="Footer"/>
      <w:rPr>
        <w:b/>
        <w:sz w:val="20"/>
        <w:szCs w:val="20"/>
      </w:rPr>
    </w:pPr>
    <w:r w:rsidRPr="00D77484">
      <w:rPr>
        <w:b/>
        <w:sz w:val="20"/>
        <w:szCs w:val="20"/>
      </w:rPr>
      <w:t>PGECOREF104</w:t>
    </w:r>
    <w:r>
      <w:rPr>
        <w:b/>
        <w:sz w:val="20"/>
        <w:szCs w:val="20"/>
      </w:rPr>
      <w:t xml:space="preserve"> - </w:t>
    </w:r>
    <w:r w:rsidRPr="00D77484">
      <w:rPr>
        <w:b/>
        <w:sz w:val="20"/>
        <w:szCs w:val="20"/>
      </w:rPr>
      <w:t>New Display Cases with Doors</w:t>
    </w:r>
    <w:r>
      <w:rPr>
        <w:b/>
        <w:sz w:val="20"/>
        <w:szCs w:val="20"/>
      </w:rPr>
      <w:tab/>
    </w:r>
    <w:r>
      <w:rPr>
        <w:b/>
        <w:sz w:val="20"/>
        <w:szCs w:val="20"/>
      </w:rPr>
      <w:tab/>
      <w:t>Ma</w:t>
    </w:r>
    <w:r w:rsidR="00251FE8">
      <w:rPr>
        <w:b/>
        <w:sz w:val="20"/>
        <w:szCs w:val="20"/>
      </w:rPr>
      <w:t>y 20</w:t>
    </w:r>
    <w:r>
      <w:rPr>
        <w:b/>
        <w:sz w:val="20"/>
        <w:szCs w:val="20"/>
      </w:rPr>
      <w:t>, 2014</w:t>
    </w:r>
  </w:p>
  <w:p w:rsidR="006006C5" w:rsidRDefault="006006C5" w:rsidP="00745F0F">
    <w:pPr>
      <w:pStyle w:val="Footer"/>
      <w:tabs>
        <w:tab w:val="right" w:pos="13590"/>
      </w:tabs>
      <w:rPr>
        <w:b/>
        <w:color w:val="000000" w:themeColor="text1"/>
        <w:sz w:val="20"/>
        <w:szCs w:val="20"/>
      </w:rPr>
    </w:pPr>
    <w:r w:rsidRPr="00917C8B">
      <w:rPr>
        <w:b/>
        <w:color w:val="000000" w:themeColor="text1"/>
        <w:sz w:val="20"/>
        <w:szCs w:val="20"/>
      </w:rPr>
      <w:t>Pacific Gas &amp; Electric Company</w:t>
    </w:r>
  </w:p>
  <w:p w:rsidR="006006C5" w:rsidRPr="00917C8B" w:rsidRDefault="006006C5" w:rsidP="00745F0F">
    <w:pPr>
      <w:pStyle w:val="Footer"/>
      <w:tabs>
        <w:tab w:val="right" w:pos="13590"/>
      </w:tabs>
      <w:rPr>
        <w:b/>
        <w:color w:val="000000" w:themeColor="text1"/>
        <w:sz w:val="20"/>
        <w:szCs w:val="20"/>
      </w:rPr>
    </w:pPr>
    <w:r>
      <w:rPr>
        <w:b/>
        <w:color w:val="000000" w:themeColor="text1"/>
        <w:sz w:val="20"/>
        <w:szCs w:val="20"/>
      </w:rPr>
      <w:fldChar w:fldCharType="begin"/>
    </w:r>
    <w:r>
      <w:rPr>
        <w:b/>
        <w:color w:val="000000" w:themeColor="text1"/>
        <w:sz w:val="20"/>
        <w:szCs w:val="20"/>
      </w:rPr>
      <w:instrText xml:space="preserve"> FILENAME   \* MERGEFORMAT </w:instrText>
    </w:r>
    <w:r>
      <w:rPr>
        <w:b/>
        <w:color w:val="000000" w:themeColor="text1"/>
        <w:sz w:val="20"/>
        <w:szCs w:val="20"/>
      </w:rPr>
      <w:fldChar w:fldCharType="separate"/>
    </w:r>
    <w:r>
      <w:rPr>
        <w:b/>
        <w:noProof/>
        <w:color w:val="000000" w:themeColor="text1"/>
        <w:sz w:val="20"/>
        <w:szCs w:val="20"/>
      </w:rPr>
      <w:t>PGECOREF104 R5 Display Cases with Doors.docx</w:t>
    </w:r>
    <w:r>
      <w:rPr>
        <w:b/>
        <w:color w:val="000000" w:themeColor="text1"/>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6C5" w:rsidRDefault="006006C5">
    <w:pPr>
      <w:pStyle w:val="Footer"/>
      <w:jc w:val="center"/>
      <w:rPr>
        <w:b/>
        <w:noProo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20"/>
        <w:szCs w:val="20"/>
      </w:rPr>
      <w:id w:val="1942642732"/>
      <w:docPartObj>
        <w:docPartGallery w:val="Page Numbers (Bottom of Page)"/>
        <w:docPartUnique/>
      </w:docPartObj>
    </w:sdtPr>
    <w:sdtEndPr>
      <w:rPr>
        <w:noProof/>
      </w:rPr>
    </w:sdtEndPr>
    <w:sdtContent>
      <w:p w:rsidR="006006C5" w:rsidRPr="00745F0F" w:rsidRDefault="006006C5">
        <w:pPr>
          <w:pStyle w:val="Footer"/>
          <w:jc w:val="center"/>
          <w:rPr>
            <w:b/>
            <w:sz w:val="20"/>
            <w:szCs w:val="20"/>
          </w:rPr>
        </w:pPr>
        <w:r w:rsidRPr="00745F0F">
          <w:rPr>
            <w:b/>
            <w:sz w:val="20"/>
            <w:szCs w:val="20"/>
          </w:rPr>
          <w:fldChar w:fldCharType="begin"/>
        </w:r>
        <w:r w:rsidRPr="00745F0F">
          <w:rPr>
            <w:b/>
            <w:sz w:val="20"/>
            <w:szCs w:val="20"/>
          </w:rPr>
          <w:instrText xml:space="preserve"> PAGE   \* MERGEFORMAT </w:instrText>
        </w:r>
        <w:r w:rsidRPr="00745F0F">
          <w:rPr>
            <w:b/>
            <w:sz w:val="20"/>
            <w:szCs w:val="20"/>
          </w:rPr>
          <w:fldChar w:fldCharType="separate"/>
        </w:r>
        <w:r w:rsidR="00ED7203">
          <w:rPr>
            <w:b/>
            <w:noProof/>
            <w:sz w:val="20"/>
            <w:szCs w:val="20"/>
          </w:rPr>
          <w:t>iv</w:t>
        </w:r>
        <w:r w:rsidRPr="00745F0F">
          <w:rPr>
            <w:b/>
            <w:noProof/>
            <w:sz w:val="20"/>
            <w:szCs w:val="20"/>
          </w:rPr>
          <w:fldChar w:fldCharType="end"/>
        </w:r>
      </w:p>
    </w:sdtContent>
  </w:sdt>
  <w:p w:rsidR="006006C5" w:rsidRDefault="006006C5" w:rsidP="00745F0F">
    <w:pPr>
      <w:pStyle w:val="Footer"/>
      <w:rPr>
        <w:b/>
        <w:sz w:val="20"/>
        <w:szCs w:val="20"/>
      </w:rPr>
    </w:pPr>
    <w:r w:rsidRPr="00D77484">
      <w:rPr>
        <w:b/>
        <w:sz w:val="20"/>
        <w:szCs w:val="20"/>
      </w:rPr>
      <w:t>PGECOREF104</w:t>
    </w:r>
    <w:r>
      <w:rPr>
        <w:b/>
        <w:sz w:val="20"/>
        <w:szCs w:val="20"/>
      </w:rPr>
      <w:t xml:space="preserve"> - </w:t>
    </w:r>
    <w:r w:rsidRPr="00D77484">
      <w:rPr>
        <w:b/>
        <w:sz w:val="20"/>
        <w:szCs w:val="20"/>
      </w:rPr>
      <w:t>New Display Cases with Doors</w:t>
    </w:r>
    <w:r w:rsidR="00251FE8">
      <w:rPr>
        <w:b/>
        <w:sz w:val="20"/>
        <w:szCs w:val="20"/>
      </w:rPr>
      <w:tab/>
    </w:r>
    <w:r w:rsidR="00251FE8">
      <w:rPr>
        <w:b/>
        <w:sz w:val="20"/>
        <w:szCs w:val="20"/>
      </w:rPr>
      <w:tab/>
      <w:t>May 20</w:t>
    </w:r>
    <w:r>
      <w:rPr>
        <w:b/>
        <w:sz w:val="20"/>
        <w:szCs w:val="20"/>
      </w:rPr>
      <w:t>, 2014</w:t>
    </w:r>
  </w:p>
  <w:p w:rsidR="006006C5" w:rsidRDefault="006006C5" w:rsidP="00745F0F">
    <w:pPr>
      <w:pStyle w:val="Footer"/>
      <w:tabs>
        <w:tab w:val="right" w:pos="13590"/>
      </w:tabs>
      <w:rPr>
        <w:b/>
        <w:color w:val="000000" w:themeColor="text1"/>
        <w:sz w:val="20"/>
        <w:szCs w:val="20"/>
      </w:rPr>
    </w:pPr>
    <w:r w:rsidRPr="00917C8B">
      <w:rPr>
        <w:b/>
        <w:color w:val="000000" w:themeColor="text1"/>
        <w:sz w:val="20"/>
        <w:szCs w:val="20"/>
      </w:rPr>
      <w:t>Pacific Gas &amp; Electric Company</w:t>
    </w:r>
  </w:p>
  <w:p w:rsidR="006006C5" w:rsidRPr="00745F0F" w:rsidRDefault="006006C5" w:rsidP="00745F0F">
    <w:pPr>
      <w:pStyle w:val="Footer"/>
      <w:tabs>
        <w:tab w:val="right" w:pos="13590"/>
      </w:tabs>
      <w:rPr>
        <w:b/>
        <w:color w:val="000000" w:themeColor="text1"/>
        <w:sz w:val="20"/>
        <w:szCs w:val="20"/>
      </w:rPr>
    </w:pPr>
    <w:r>
      <w:rPr>
        <w:b/>
        <w:color w:val="000000" w:themeColor="text1"/>
        <w:sz w:val="20"/>
        <w:szCs w:val="20"/>
      </w:rPr>
      <w:fldChar w:fldCharType="begin"/>
    </w:r>
    <w:r>
      <w:rPr>
        <w:b/>
        <w:color w:val="000000" w:themeColor="text1"/>
        <w:sz w:val="20"/>
        <w:szCs w:val="20"/>
      </w:rPr>
      <w:instrText xml:space="preserve"> FILENAME   \* MERGEFORMAT </w:instrText>
    </w:r>
    <w:r>
      <w:rPr>
        <w:b/>
        <w:color w:val="000000" w:themeColor="text1"/>
        <w:sz w:val="20"/>
        <w:szCs w:val="20"/>
      </w:rPr>
      <w:fldChar w:fldCharType="separate"/>
    </w:r>
    <w:r>
      <w:rPr>
        <w:b/>
        <w:noProof/>
        <w:color w:val="000000" w:themeColor="text1"/>
        <w:sz w:val="20"/>
        <w:szCs w:val="20"/>
      </w:rPr>
      <w:t>PGECOREF104 R5 Display Cases with Doors.docx</w:t>
    </w:r>
    <w:r>
      <w:rPr>
        <w:b/>
        <w:color w:val="000000" w:themeColor="tex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6C5" w:rsidRDefault="006006C5" w:rsidP="00447D6E">
      <w:r>
        <w:separator/>
      </w:r>
    </w:p>
  </w:footnote>
  <w:footnote w:type="continuationSeparator" w:id="0">
    <w:p w:rsidR="006006C5" w:rsidRDefault="006006C5" w:rsidP="00447D6E">
      <w:r>
        <w:continuationSeparator/>
      </w:r>
    </w:p>
  </w:footnote>
  <w:footnote w:type="continuationNotice" w:id="1">
    <w:p w:rsidR="006006C5" w:rsidRDefault="006006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6C5" w:rsidRDefault="006006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6C5" w:rsidRDefault="006006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6C5" w:rsidRDefault="006006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394924"/>
    <w:multiLevelType w:val="multilevel"/>
    <w:tmpl w:val="561E403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3A64B98"/>
    <w:multiLevelType w:val="hybridMultilevel"/>
    <w:tmpl w:val="9F18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E534C8"/>
    <w:multiLevelType w:val="hybridMultilevel"/>
    <w:tmpl w:val="E402D6D8"/>
    <w:lvl w:ilvl="0" w:tplc="8A1E19A8">
      <w:start w:val="1"/>
      <w:numFmt w:val="decimal"/>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04045A3"/>
    <w:multiLevelType w:val="hybridMultilevel"/>
    <w:tmpl w:val="469AE8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D95F62"/>
    <w:multiLevelType w:val="hybridMultilevel"/>
    <w:tmpl w:val="DB3C4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C75C9F"/>
    <w:multiLevelType w:val="hybridMultilevel"/>
    <w:tmpl w:val="B4CA1FBC"/>
    <w:lvl w:ilvl="0" w:tplc="838E3F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2102584"/>
    <w:multiLevelType w:val="multilevel"/>
    <w:tmpl w:val="F2E6209C"/>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485656A"/>
    <w:multiLevelType w:val="hybridMultilevel"/>
    <w:tmpl w:val="AB8A50B2"/>
    <w:lvl w:ilvl="0" w:tplc="68A264F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98F40B1"/>
    <w:multiLevelType w:val="hybridMultilevel"/>
    <w:tmpl w:val="4C9C701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A7E0870"/>
    <w:multiLevelType w:val="hybridMultilevel"/>
    <w:tmpl w:val="E520A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50032A"/>
    <w:multiLevelType w:val="hybridMultilevel"/>
    <w:tmpl w:val="6BDE97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0">
    <w:nsid w:val="56BF229D"/>
    <w:multiLevelType w:val="hybridMultilevel"/>
    <w:tmpl w:val="01404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574CD7"/>
    <w:multiLevelType w:val="hybridMultilevel"/>
    <w:tmpl w:val="29A89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E4954E5"/>
    <w:multiLevelType w:val="hybridMultilevel"/>
    <w:tmpl w:val="EF206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32460C"/>
    <w:multiLevelType w:val="multilevel"/>
    <w:tmpl w:val="140A2F6E"/>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1"/>
  </w:num>
  <w:num w:numId="3">
    <w:abstractNumId w:val="8"/>
  </w:num>
  <w:num w:numId="4">
    <w:abstractNumId w:val="5"/>
  </w:num>
  <w:num w:numId="5">
    <w:abstractNumId w:val="5"/>
  </w:num>
  <w:num w:numId="6">
    <w:abstractNumId w:val="0"/>
  </w:num>
  <w:num w:numId="7">
    <w:abstractNumId w:val="12"/>
  </w:num>
  <w:num w:numId="8">
    <w:abstractNumId w:val="6"/>
  </w:num>
  <w:num w:numId="9">
    <w:abstractNumId w:val="1"/>
  </w:num>
  <w:num w:numId="10">
    <w:abstractNumId w:val="18"/>
  </w:num>
  <w:num w:numId="11">
    <w:abstractNumId w:val="19"/>
  </w:num>
  <w:num w:numId="12">
    <w:abstractNumId w:val="9"/>
  </w:num>
  <w:num w:numId="13">
    <w:abstractNumId w:val="7"/>
  </w:num>
  <w:num w:numId="14">
    <w:abstractNumId w:val="2"/>
  </w:num>
  <w:num w:numId="15">
    <w:abstractNumId w:val="21"/>
  </w:num>
  <w:num w:numId="16">
    <w:abstractNumId w:val="3"/>
  </w:num>
  <w:num w:numId="17">
    <w:abstractNumId w:val="14"/>
  </w:num>
  <w:num w:numId="18">
    <w:abstractNumId w:val="24"/>
  </w:num>
  <w:num w:numId="19">
    <w:abstractNumId w:val="13"/>
  </w:num>
  <w:num w:numId="20">
    <w:abstractNumId w:val="20"/>
  </w:num>
  <w:num w:numId="21">
    <w:abstractNumId w:val="22"/>
  </w:num>
  <w:num w:numId="22">
    <w:abstractNumId w:val="10"/>
  </w:num>
  <w:num w:numId="23">
    <w:abstractNumId w:val="17"/>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5"/>
  </w:num>
  <w:num w:numId="27">
    <w:abstractNumId w:val="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826"/>
    <w:rsid w:val="00004C57"/>
    <w:rsid w:val="00005902"/>
    <w:rsid w:val="00006EF9"/>
    <w:rsid w:val="00011D07"/>
    <w:rsid w:val="00012832"/>
    <w:rsid w:val="00013258"/>
    <w:rsid w:val="000135D3"/>
    <w:rsid w:val="00014E31"/>
    <w:rsid w:val="00020001"/>
    <w:rsid w:val="00025606"/>
    <w:rsid w:val="00027183"/>
    <w:rsid w:val="00032C25"/>
    <w:rsid w:val="00033EA1"/>
    <w:rsid w:val="00043BA2"/>
    <w:rsid w:val="0004719A"/>
    <w:rsid w:val="00052808"/>
    <w:rsid w:val="00054022"/>
    <w:rsid w:val="0005658F"/>
    <w:rsid w:val="00056947"/>
    <w:rsid w:val="00057B54"/>
    <w:rsid w:val="00057F13"/>
    <w:rsid w:val="000616E3"/>
    <w:rsid w:val="00063423"/>
    <w:rsid w:val="00067D33"/>
    <w:rsid w:val="00070F29"/>
    <w:rsid w:val="00076DF4"/>
    <w:rsid w:val="000803DA"/>
    <w:rsid w:val="000856E0"/>
    <w:rsid w:val="00085BBB"/>
    <w:rsid w:val="000871DE"/>
    <w:rsid w:val="0009074D"/>
    <w:rsid w:val="00096507"/>
    <w:rsid w:val="000A5085"/>
    <w:rsid w:val="000A63C9"/>
    <w:rsid w:val="000B0301"/>
    <w:rsid w:val="000B06D1"/>
    <w:rsid w:val="000B135C"/>
    <w:rsid w:val="000B3394"/>
    <w:rsid w:val="000B53E7"/>
    <w:rsid w:val="000B68F8"/>
    <w:rsid w:val="000C0000"/>
    <w:rsid w:val="000C18CC"/>
    <w:rsid w:val="000C3985"/>
    <w:rsid w:val="000C5D07"/>
    <w:rsid w:val="000C7950"/>
    <w:rsid w:val="000D043F"/>
    <w:rsid w:val="000D13C0"/>
    <w:rsid w:val="000E074B"/>
    <w:rsid w:val="000E3A2B"/>
    <w:rsid w:val="000E5398"/>
    <w:rsid w:val="000E6854"/>
    <w:rsid w:val="000F0A88"/>
    <w:rsid w:val="000F130A"/>
    <w:rsid w:val="000F21E5"/>
    <w:rsid w:val="000F25A3"/>
    <w:rsid w:val="000F4783"/>
    <w:rsid w:val="000F561E"/>
    <w:rsid w:val="00101D3A"/>
    <w:rsid w:val="001031A9"/>
    <w:rsid w:val="001058AE"/>
    <w:rsid w:val="00106CB3"/>
    <w:rsid w:val="00112D76"/>
    <w:rsid w:val="00117779"/>
    <w:rsid w:val="001204B8"/>
    <w:rsid w:val="00121EAD"/>
    <w:rsid w:val="00127CB1"/>
    <w:rsid w:val="00127E3F"/>
    <w:rsid w:val="0013778F"/>
    <w:rsid w:val="00137A9E"/>
    <w:rsid w:val="00141641"/>
    <w:rsid w:val="00142199"/>
    <w:rsid w:val="00142A3B"/>
    <w:rsid w:val="00142B61"/>
    <w:rsid w:val="00147155"/>
    <w:rsid w:val="00152E1D"/>
    <w:rsid w:val="00153CB3"/>
    <w:rsid w:val="001551B4"/>
    <w:rsid w:val="001579EB"/>
    <w:rsid w:val="001643D4"/>
    <w:rsid w:val="00165357"/>
    <w:rsid w:val="001663B1"/>
    <w:rsid w:val="00166497"/>
    <w:rsid w:val="00171D37"/>
    <w:rsid w:val="00176853"/>
    <w:rsid w:val="001805E2"/>
    <w:rsid w:val="001821FE"/>
    <w:rsid w:val="00182BCC"/>
    <w:rsid w:val="0018345B"/>
    <w:rsid w:val="00183F2A"/>
    <w:rsid w:val="00184F1B"/>
    <w:rsid w:val="001921E1"/>
    <w:rsid w:val="001A0EB4"/>
    <w:rsid w:val="001A60ED"/>
    <w:rsid w:val="001A7671"/>
    <w:rsid w:val="001B00DF"/>
    <w:rsid w:val="001B51B0"/>
    <w:rsid w:val="001C4140"/>
    <w:rsid w:val="001C558D"/>
    <w:rsid w:val="001D0D62"/>
    <w:rsid w:val="001D2993"/>
    <w:rsid w:val="001E0829"/>
    <w:rsid w:val="001E2EB7"/>
    <w:rsid w:val="001E6CA8"/>
    <w:rsid w:val="001E7AB6"/>
    <w:rsid w:val="001F03AC"/>
    <w:rsid w:val="001F2075"/>
    <w:rsid w:val="001F6384"/>
    <w:rsid w:val="00201899"/>
    <w:rsid w:val="00201B4C"/>
    <w:rsid w:val="002101C3"/>
    <w:rsid w:val="00212463"/>
    <w:rsid w:val="00214574"/>
    <w:rsid w:val="002164A5"/>
    <w:rsid w:val="00222C65"/>
    <w:rsid w:val="00223944"/>
    <w:rsid w:val="0022631A"/>
    <w:rsid w:val="00231D37"/>
    <w:rsid w:val="00241171"/>
    <w:rsid w:val="002415D3"/>
    <w:rsid w:val="00243497"/>
    <w:rsid w:val="0024570B"/>
    <w:rsid w:val="00245B25"/>
    <w:rsid w:val="00246EEC"/>
    <w:rsid w:val="00251191"/>
    <w:rsid w:val="00251FE8"/>
    <w:rsid w:val="00252C62"/>
    <w:rsid w:val="00253AE5"/>
    <w:rsid w:val="0025665D"/>
    <w:rsid w:val="00261D98"/>
    <w:rsid w:val="00262501"/>
    <w:rsid w:val="00264741"/>
    <w:rsid w:val="00270874"/>
    <w:rsid w:val="002732C8"/>
    <w:rsid w:val="002740BD"/>
    <w:rsid w:val="002762E1"/>
    <w:rsid w:val="00283DE8"/>
    <w:rsid w:val="00284A46"/>
    <w:rsid w:val="00285966"/>
    <w:rsid w:val="0028695E"/>
    <w:rsid w:val="00293EA2"/>
    <w:rsid w:val="00293F17"/>
    <w:rsid w:val="00295A10"/>
    <w:rsid w:val="00297124"/>
    <w:rsid w:val="002A14EA"/>
    <w:rsid w:val="002A27D2"/>
    <w:rsid w:val="002A3D26"/>
    <w:rsid w:val="002A5503"/>
    <w:rsid w:val="002B553F"/>
    <w:rsid w:val="002B737A"/>
    <w:rsid w:val="002C444C"/>
    <w:rsid w:val="002C6C7A"/>
    <w:rsid w:val="002D3755"/>
    <w:rsid w:val="002E1E1A"/>
    <w:rsid w:val="002E2658"/>
    <w:rsid w:val="002E316F"/>
    <w:rsid w:val="002E5700"/>
    <w:rsid w:val="002E6A2F"/>
    <w:rsid w:val="002F1437"/>
    <w:rsid w:val="002F1DDC"/>
    <w:rsid w:val="002F317B"/>
    <w:rsid w:val="002F3943"/>
    <w:rsid w:val="002F764B"/>
    <w:rsid w:val="00302633"/>
    <w:rsid w:val="00306503"/>
    <w:rsid w:val="0031038B"/>
    <w:rsid w:val="003108E0"/>
    <w:rsid w:val="00310DF1"/>
    <w:rsid w:val="003138DB"/>
    <w:rsid w:val="00315E54"/>
    <w:rsid w:val="00325DA4"/>
    <w:rsid w:val="00332700"/>
    <w:rsid w:val="0033448D"/>
    <w:rsid w:val="00340573"/>
    <w:rsid w:val="00340AEF"/>
    <w:rsid w:val="003410C8"/>
    <w:rsid w:val="00343199"/>
    <w:rsid w:val="00344E23"/>
    <w:rsid w:val="0035059B"/>
    <w:rsid w:val="003560BA"/>
    <w:rsid w:val="003566B1"/>
    <w:rsid w:val="00362113"/>
    <w:rsid w:val="0036225E"/>
    <w:rsid w:val="003662E1"/>
    <w:rsid w:val="0037301F"/>
    <w:rsid w:val="003765F3"/>
    <w:rsid w:val="00377B10"/>
    <w:rsid w:val="003853C0"/>
    <w:rsid w:val="003854E1"/>
    <w:rsid w:val="00387C11"/>
    <w:rsid w:val="00392CEB"/>
    <w:rsid w:val="00394101"/>
    <w:rsid w:val="0039544E"/>
    <w:rsid w:val="00396C5A"/>
    <w:rsid w:val="0039760D"/>
    <w:rsid w:val="003A024F"/>
    <w:rsid w:val="003A1EDA"/>
    <w:rsid w:val="003A57BF"/>
    <w:rsid w:val="003A7EDC"/>
    <w:rsid w:val="003B01F6"/>
    <w:rsid w:val="003B192A"/>
    <w:rsid w:val="003B45FD"/>
    <w:rsid w:val="003B6DD1"/>
    <w:rsid w:val="003C078B"/>
    <w:rsid w:val="003C2980"/>
    <w:rsid w:val="003C7BA5"/>
    <w:rsid w:val="003D13C3"/>
    <w:rsid w:val="003D1FCB"/>
    <w:rsid w:val="003D2871"/>
    <w:rsid w:val="003D3451"/>
    <w:rsid w:val="003D6A4E"/>
    <w:rsid w:val="003D790A"/>
    <w:rsid w:val="003E5378"/>
    <w:rsid w:val="003E5C04"/>
    <w:rsid w:val="003E6E47"/>
    <w:rsid w:val="003F047F"/>
    <w:rsid w:val="003F0623"/>
    <w:rsid w:val="003F20C7"/>
    <w:rsid w:val="003F55C4"/>
    <w:rsid w:val="003F7ADC"/>
    <w:rsid w:val="004037AD"/>
    <w:rsid w:val="0040412B"/>
    <w:rsid w:val="00406709"/>
    <w:rsid w:val="00413011"/>
    <w:rsid w:val="0041480D"/>
    <w:rsid w:val="00415578"/>
    <w:rsid w:val="004200FE"/>
    <w:rsid w:val="00421106"/>
    <w:rsid w:val="00424092"/>
    <w:rsid w:val="00430529"/>
    <w:rsid w:val="00432935"/>
    <w:rsid w:val="0043391D"/>
    <w:rsid w:val="004353DC"/>
    <w:rsid w:val="00436A6B"/>
    <w:rsid w:val="00437F3E"/>
    <w:rsid w:val="0044043C"/>
    <w:rsid w:val="00443D32"/>
    <w:rsid w:val="00446A3A"/>
    <w:rsid w:val="00447B35"/>
    <w:rsid w:val="00447CE5"/>
    <w:rsid w:val="00447D6E"/>
    <w:rsid w:val="0045077F"/>
    <w:rsid w:val="00452672"/>
    <w:rsid w:val="00452B43"/>
    <w:rsid w:val="00453095"/>
    <w:rsid w:val="004557F7"/>
    <w:rsid w:val="0046286E"/>
    <w:rsid w:val="00463805"/>
    <w:rsid w:val="00465777"/>
    <w:rsid w:val="0047466E"/>
    <w:rsid w:val="00477522"/>
    <w:rsid w:val="0049103E"/>
    <w:rsid w:val="00493457"/>
    <w:rsid w:val="00494628"/>
    <w:rsid w:val="004947A7"/>
    <w:rsid w:val="004A4CB7"/>
    <w:rsid w:val="004B0E0A"/>
    <w:rsid w:val="004B1950"/>
    <w:rsid w:val="004B3DCB"/>
    <w:rsid w:val="004B4A3A"/>
    <w:rsid w:val="004B4AB0"/>
    <w:rsid w:val="004B7B33"/>
    <w:rsid w:val="004B7EF8"/>
    <w:rsid w:val="004C15B2"/>
    <w:rsid w:val="004C766D"/>
    <w:rsid w:val="004D18C8"/>
    <w:rsid w:val="004E76CA"/>
    <w:rsid w:val="004F0CB3"/>
    <w:rsid w:val="004F1A01"/>
    <w:rsid w:val="004F2A9A"/>
    <w:rsid w:val="004F679C"/>
    <w:rsid w:val="00501B3B"/>
    <w:rsid w:val="0051020F"/>
    <w:rsid w:val="00510F62"/>
    <w:rsid w:val="00523E2F"/>
    <w:rsid w:val="0053292A"/>
    <w:rsid w:val="005331D9"/>
    <w:rsid w:val="00543532"/>
    <w:rsid w:val="00545168"/>
    <w:rsid w:val="00545E9B"/>
    <w:rsid w:val="00551110"/>
    <w:rsid w:val="00551F76"/>
    <w:rsid w:val="00553927"/>
    <w:rsid w:val="00554D5A"/>
    <w:rsid w:val="0055583B"/>
    <w:rsid w:val="005661F3"/>
    <w:rsid w:val="005734A4"/>
    <w:rsid w:val="005745AB"/>
    <w:rsid w:val="005762F5"/>
    <w:rsid w:val="00580281"/>
    <w:rsid w:val="00583EE4"/>
    <w:rsid w:val="00584996"/>
    <w:rsid w:val="00585F6F"/>
    <w:rsid w:val="005877A2"/>
    <w:rsid w:val="00591A33"/>
    <w:rsid w:val="005A0D18"/>
    <w:rsid w:val="005A1078"/>
    <w:rsid w:val="005B28C1"/>
    <w:rsid w:val="005B5A24"/>
    <w:rsid w:val="005B6696"/>
    <w:rsid w:val="005C2E48"/>
    <w:rsid w:val="005D20ED"/>
    <w:rsid w:val="005D3DB6"/>
    <w:rsid w:val="005D4DD7"/>
    <w:rsid w:val="005D6BF0"/>
    <w:rsid w:val="005D748B"/>
    <w:rsid w:val="005E050B"/>
    <w:rsid w:val="005E0F89"/>
    <w:rsid w:val="005E18B5"/>
    <w:rsid w:val="005E5F2B"/>
    <w:rsid w:val="005F3A16"/>
    <w:rsid w:val="005F544A"/>
    <w:rsid w:val="005F5457"/>
    <w:rsid w:val="005F5AC0"/>
    <w:rsid w:val="006006C5"/>
    <w:rsid w:val="00602799"/>
    <w:rsid w:val="00603307"/>
    <w:rsid w:val="00604457"/>
    <w:rsid w:val="006049B6"/>
    <w:rsid w:val="00606497"/>
    <w:rsid w:val="00611448"/>
    <w:rsid w:val="00612041"/>
    <w:rsid w:val="006128A2"/>
    <w:rsid w:val="00612DA2"/>
    <w:rsid w:val="00622693"/>
    <w:rsid w:val="00630142"/>
    <w:rsid w:val="00631823"/>
    <w:rsid w:val="006332EF"/>
    <w:rsid w:val="00635792"/>
    <w:rsid w:val="006404E6"/>
    <w:rsid w:val="006413BB"/>
    <w:rsid w:val="00647ABE"/>
    <w:rsid w:val="0065240E"/>
    <w:rsid w:val="00652589"/>
    <w:rsid w:val="00655215"/>
    <w:rsid w:val="00655F80"/>
    <w:rsid w:val="00656F06"/>
    <w:rsid w:val="00657297"/>
    <w:rsid w:val="00660FA5"/>
    <w:rsid w:val="006613A6"/>
    <w:rsid w:val="006622CB"/>
    <w:rsid w:val="00664B05"/>
    <w:rsid w:val="00671C26"/>
    <w:rsid w:val="006738B1"/>
    <w:rsid w:val="00674568"/>
    <w:rsid w:val="00682D3D"/>
    <w:rsid w:val="006849E9"/>
    <w:rsid w:val="006852AB"/>
    <w:rsid w:val="006870A5"/>
    <w:rsid w:val="00692116"/>
    <w:rsid w:val="00694E9E"/>
    <w:rsid w:val="00695173"/>
    <w:rsid w:val="006958CD"/>
    <w:rsid w:val="006A00F5"/>
    <w:rsid w:val="006A3112"/>
    <w:rsid w:val="006A672C"/>
    <w:rsid w:val="006B07B2"/>
    <w:rsid w:val="006B0DF3"/>
    <w:rsid w:val="006C0273"/>
    <w:rsid w:val="006C0DE9"/>
    <w:rsid w:val="006C430A"/>
    <w:rsid w:val="006C578E"/>
    <w:rsid w:val="006D2809"/>
    <w:rsid w:val="006D35FD"/>
    <w:rsid w:val="006D5F53"/>
    <w:rsid w:val="006E145C"/>
    <w:rsid w:val="006E47ED"/>
    <w:rsid w:val="006E4EF0"/>
    <w:rsid w:val="006F52ED"/>
    <w:rsid w:val="006F6E26"/>
    <w:rsid w:val="006F7A38"/>
    <w:rsid w:val="00701900"/>
    <w:rsid w:val="00701F8B"/>
    <w:rsid w:val="007048AC"/>
    <w:rsid w:val="007051E9"/>
    <w:rsid w:val="00706F7C"/>
    <w:rsid w:val="00707531"/>
    <w:rsid w:val="007102A0"/>
    <w:rsid w:val="00711940"/>
    <w:rsid w:val="00714BC2"/>
    <w:rsid w:val="00736782"/>
    <w:rsid w:val="00737F34"/>
    <w:rsid w:val="00740761"/>
    <w:rsid w:val="00740EC2"/>
    <w:rsid w:val="00745559"/>
    <w:rsid w:val="00745E0A"/>
    <w:rsid w:val="00745F0F"/>
    <w:rsid w:val="007631E2"/>
    <w:rsid w:val="00764D0D"/>
    <w:rsid w:val="00766B6B"/>
    <w:rsid w:val="00767E10"/>
    <w:rsid w:val="00772472"/>
    <w:rsid w:val="0077267C"/>
    <w:rsid w:val="0077702F"/>
    <w:rsid w:val="00783458"/>
    <w:rsid w:val="00783FA2"/>
    <w:rsid w:val="00786EE3"/>
    <w:rsid w:val="0079030A"/>
    <w:rsid w:val="007924F9"/>
    <w:rsid w:val="007927FC"/>
    <w:rsid w:val="007933F1"/>
    <w:rsid w:val="007951B7"/>
    <w:rsid w:val="007A1FBF"/>
    <w:rsid w:val="007B2D18"/>
    <w:rsid w:val="007C1D4B"/>
    <w:rsid w:val="007C4274"/>
    <w:rsid w:val="007C55E0"/>
    <w:rsid w:val="007C5E69"/>
    <w:rsid w:val="007C622D"/>
    <w:rsid w:val="007D058C"/>
    <w:rsid w:val="007D33F0"/>
    <w:rsid w:val="007D5F29"/>
    <w:rsid w:val="007E43F8"/>
    <w:rsid w:val="007E656B"/>
    <w:rsid w:val="007F02CE"/>
    <w:rsid w:val="007F19D5"/>
    <w:rsid w:val="007F4621"/>
    <w:rsid w:val="007F50E8"/>
    <w:rsid w:val="00800319"/>
    <w:rsid w:val="0080060F"/>
    <w:rsid w:val="0080124F"/>
    <w:rsid w:val="00801F7F"/>
    <w:rsid w:val="0081765C"/>
    <w:rsid w:val="0082162F"/>
    <w:rsid w:val="0082193B"/>
    <w:rsid w:val="008222FA"/>
    <w:rsid w:val="008245EB"/>
    <w:rsid w:val="00824F1C"/>
    <w:rsid w:val="0083307B"/>
    <w:rsid w:val="008351BC"/>
    <w:rsid w:val="0083561A"/>
    <w:rsid w:val="00837694"/>
    <w:rsid w:val="008404CF"/>
    <w:rsid w:val="008434EF"/>
    <w:rsid w:val="00850832"/>
    <w:rsid w:val="00850883"/>
    <w:rsid w:val="00850F61"/>
    <w:rsid w:val="008553EE"/>
    <w:rsid w:val="00861D12"/>
    <w:rsid w:val="00865102"/>
    <w:rsid w:val="00865A5C"/>
    <w:rsid w:val="00871B86"/>
    <w:rsid w:val="00881A42"/>
    <w:rsid w:val="00882AB6"/>
    <w:rsid w:val="00885E0A"/>
    <w:rsid w:val="0088603B"/>
    <w:rsid w:val="008864DE"/>
    <w:rsid w:val="00892F8C"/>
    <w:rsid w:val="00893C16"/>
    <w:rsid w:val="00893FC3"/>
    <w:rsid w:val="0089577B"/>
    <w:rsid w:val="00897AB9"/>
    <w:rsid w:val="00897B5F"/>
    <w:rsid w:val="008A6B08"/>
    <w:rsid w:val="008B2EE0"/>
    <w:rsid w:val="008B39DF"/>
    <w:rsid w:val="008B60C7"/>
    <w:rsid w:val="008B780D"/>
    <w:rsid w:val="008B7E40"/>
    <w:rsid w:val="008C006A"/>
    <w:rsid w:val="008C5B93"/>
    <w:rsid w:val="008D0B4B"/>
    <w:rsid w:val="008D6788"/>
    <w:rsid w:val="008E007C"/>
    <w:rsid w:val="008E17CC"/>
    <w:rsid w:val="008E38A5"/>
    <w:rsid w:val="008E76CB"/>
    <w:rsid w:val="008F0451"/>
    <w:rsid w:val="008F08D8"/>
    <w:rsid w:val="008F33B4"/>
    <w:rsid w:val="008F4D83"/>
    <w:rsid w:val="008F52FC"/>
    <w:rsid w:val="008F795E"/>
    <w:rsid w:val="00900A50"/>
    <w:rsid w:val="00905F38"/>
    <w:rsid w:val="009133FD"/>
    <w:rsid w:val="00913EA8"/>
    <w:rsid w:val="009159AA"/>
    <w:rsid w:val="00916068"/>
    <w:rsid w:val="00917A36"/>
    <w:rsid w:val="00922B85"/>
    <w:rsid w:val="00922F66"/>
    <w:rsid w:val="00925E75"/>
    <w:rsid w:val="00927400"/>
    <w:rsid w:val="00927BD8"/>
    <w:rsid w:val="0093382F"/>
    <w:rsid w:val="00935DA2"/>
    <w:rsid w:val="00937C46"/>
    <w:rsid w:val="00940596"/>
    <w:rsid w:val="00943B87"/>
    <w:rsid w:val="00945FCE"/>
    <w:rsid w:val="009500DC"/>
    <w:rsid w:val="00951923"/>
    <w:rsid w:val="0095320E"/>
    <w:rsid w:val="00953D46"/>
    <w:rsid w:val="00954F13"/>
    <w:rsid w:val="00955142"/>
    <w:rsid w:val="00956589"/>
    <w:rsid w:val="009571EF"/>
    <w:rsid w:val="00957840"/>
    <w:rsid w:val="00957CA0"/>
    <w:rsid w:val="0096021B"/>
    <w:rsid w:val="009606A1"/>
    <w:rsid w:val="00961483"/>
    <w:rsid w:val="00962788"/>
    <w:rsid w:val="00962B12"/>
    <w:rsid w:val="00962F46"/>
    <w:rsid w:val="009632FE"/>
    <w:rsid w:val="00966760"/>
    <w:rsid w:val="00966D8F"/>
    <w:rsid w:val="00972C81"/>
    <w:rsid w:val="0097306C"/>
    <w:rsid w:val="009754A3"/>
    <w:rsid w:val="00975F1C"/>
    <w:rsid w:val="00982540"/>
    <w:rsid w:val="00986A70"/>
    <w:rsid w:val="00986F70"/>
    <w:rsid w:val="00995CB0"/>
    <w:rsid w:val="0099671C"/>
    <w:rsid w:val="009969B3"/>
    <w:rsid w:val="00997CDB"/>
    <w:rsid w:val="00997E77"/>
    <w:rsid w:val="009A2ECF"/>
    <w:rsid w:val="009A61E7"/>
    <w:rsid w:val="009A66DC"/>
    <w:rsid w:val="009B260F"/>
    <w:rsid w:val="009B578F"/>
    <w:rsid w:val="009B5C6F"/>
    <w:rsid w:val="009C1777"/>
    <w:rsid w:val="009C2C86"/>
    <w:rsid w:val="009C4008"/>
    <w:rsid w:val="009D1F46"/>
    <w:rsid w:val="009D445B"/>
    <w:rsid w:val="009D4890"/>
    <w:rsid w:val="009D5D7A"/>
    <w:rsid w:val="009E0ADD"/>
    <w:rsid w:val="009E1802"/>
    <w:rsid w:val="009E1CDE"/>
    <w:rsid w:val="009E3A19"/>
    <w:rsid w:val="009E48BC"/>
    <w:rsid w:val="009E51E2"/>
    <w:rsid w:val="009E5AC1"/>
    <w:rsid w:val="009F358B"/>
    <w:rsid w:val="009F4DCF"/>
    <w:rsid w:val="009F635B"/>
    <w:rsid w:val="009F7A61"/>
    <w:rsid w:val="00A01F4F"/>
    <w:rsid w:val="00A06696"/>
    <w:rsid w:val="00A11434"/>
    <w:rsid w:val="00A1171E"/>
    <w:rsid w:val="00A1407D"/>
    <w:rsid w:val="00A1423E"/>
    <w:rsid w:val="00A16435"/>
    <w:rsid w:val="00A22881"/>
    <w:rsid w:val="00A23033"/>
    <w:rsid w:val="00A268B0"/>
    <w:rsid w:val="00A274CC"/>
    <w:rsid w:val="00A304D8"/>
    <w:rsid w:val="00A35B74"/>
    <w:rsid w:val="00A35D4F"/>
    <w:rsid w:val="00A36303"/>
    <w:rsid w:val="00A4325C"/>
    <w:rsid w:val="00A451F6"/>
    <w:rsid w:val="00A46AA5"/>
    <w:rsid w:val="00A47256"/>
    <w:rsid w:val="00A500D6"/>
    <w:rsid w:val="00A512A8"/>
    <w:rsid w:val="00A56306"/>
    <w:rsid w:val="00A6366E"/>
    <w:rsid w:val="00A6464B"/>
    <w:rsid w:val="00A659AB"/>
    <w:rsid w:val="00A71CAB"/>
    <w:rsid w:val="00A75B1F"/>
    <w:rsid w:val="00A75B2F"/>
    <w:rsid w:val="00A75FD7"/>
    <w:rsid w:val="00A77FBA"/>
    <w:rsid w:val="00A80086"/>
    <w:rsid w:val="00A82820"/>
    <w:rsid w:val="00A86DA2"/>
    <w:rsid w:val="00A94F1E"/>
    <w:rsid w:val="00A96883"/>
    <w:rsid w:val="00AA0833"/>
    <w:rsid w:val="00AA1D0C"/>
    <w:rsid w:val="00AA3EFF"/>
    <w:rsid w:val="00AA6672"/>
    <w:rsid w:val="00AB3386"/>
    <w:rsid w:val="00AB6B82"/>
    <w:rsid w:val="00AB71D9"/>
    <w:rsid w:val="00AC44E3"/>
    <w:rsid w:val="00AC53CA"/>
    <w:rsid w:val="00AC5A45"/>
    <w:rsid w:val="00AD1361"/>
    <w:rsid w:val="00AD31D1"/>
    <w:rsid w:val="00AD3A4D"/>
    <w:rsid w:val="00AD4DD0"/>
    <w:rsid w:val="00AE2EA8"/>
    <w:rsid w:val="00AE3BD6"/>
    <w:rsid w:val="00AE421A"/>
    <w:rsid w:val="00AE43D8"/>
    <w:rsid w:val="00AF1672"/>
    <w:rsid w:val="00AF3EB4"/>
    <w:rsid w:val="00AF6342"/>
    <w:rsid w:val="00B03620"/>
    <w:rsid w:val="00B06041"/>
    <w:rsid w:val="00B07ADC"/>
    <w:rsid w:val="00B07EE5"/>
    <w:rsid w:val="00B1337B"/>
    <w:rsid w:val="00B164B8"/>
    <w:rsid w:val="00B17B22"/>
    <w:rsid w:val="00B21543"/>
    <w:rsid w:val="00B266D4"/>
    <w:rsid w:val="00B26B83"/>
    <w:rsid w:val="00B26B8B"/>
    <w:rsid w:val="00B27544"/>
    <w:rsid w:val="00B27ECE"/>
    <w:rsid w:val="00B32479"/>
    <w:rsid w:val="00B326B1"/>
    <w:rsid w:val="00B33117"/>
    <w:rsid w:val="00B35186"/>
    <w:rsid w:val="00B37D20"/>
    <w:rsid w:val="00B45B36"/>
    <w:rsid w:val="00B4713E"/>
    <w:rsid w:val="00B52E28"/>
    <w:rsid w:val="00B54093"/>
    <w:rsid w:val="00B55486"/>
    <w:rsid w:val="00B56994"/>
    <w:rsid w:val="00B62DE3"/>
    <w:rsid w:val="00B634C4"/>
    <w:rsid w:val="00B6463A"/>
    <w:rsid w:val="00B71CC8"/>
    <w:rsid w:val="00B76AB3"/>
    <w:rsid w:val="00B800FD"/>
    <w:rsid w:val="00B80EE8"/>
    <w:rsid w:val="00B866B4"/>
    <w:rsid w:val="00BA1D87"/>
    <w:rsid w:val="00BA2D17"/>
    <w:rsid w:val="00BA6DAF"/>
    <w:rsid w:val="00BB0B39"/>
    <w:rsid w:val="00BB4BCB"/>
    <w:rsid w:val="00BB5F75"/>
    <w:rsid w:val="00BB72AF"/>
    <w:rsid w:val="00BC7B05"/>
    <w:rsid w:val="00BD55AA"/>
    <w:rsid w:val="00BD5B88"/>
    <w:rsid w:val="00BD6A19"/>
    <w:rsid w:val="00BD7EC8"/>
    <w:rsid w:val="00BE5D6F"/>
    <w:rsid w:val="00BF0A9C"/>
    <w:rsid w:val="00BF1C7A"/>
    <w:rsid w:val="00BF441E"/>
    <w:rsid w:val="00BF480E"/>
    <w:rsid w:val="00BF4A95"/>
    <w:rsid w:val="00BF5F13"/>
    <w:rsid w:val="00BF60F2"/>
    <w:rsid w:val="00BF7FF2"/>
    <w:rsid w:val="00C002ED"/>
    <w:rsid w:val="00C01D4F"/>
    <w:rsid w:val="00C02344"/>
    <w:rsid w:val="00C03772"/>
    <w:rsid w:val="00C04360"/>
    <w:rsid w:val="00C06617"/>
    <w:rsid w:val="00C10D0C"/>
    <w:rsid w:val="00C11B3D"/>
    <w:rsid w:val="00C12C36"/>
    <w:rsid w:val="00C141E1"/>
    <w:rsid w:val="00C14635"/>
    <w:rsid w:val="00C1743F"/>
    <w:rsid w:val="00C22E78"/>
    <w:rsid w:val="00C231EA"/>
    <w:rsid w:val="00C2419B"/>
    <w:rsid w:val="00C24D03"/>
    <w:rsid w:val="00C25E61"/>
    <w:rsid w:val="00C3263C"/>
    <w:rsid w:val="00C32F6B"/>
    <w:rsid w:val="00C36450"/>
    <w:rsid w:val="00C3772E"/>
    <w:rsid w:val="00C37D2E"/>
    <w:rsid w:val="00C40BE3"/>
    <w:rsid w:val="00C41D46"/>
    <w:rsid w:val="00C458AA"/>
    <w:rsid w:val="00C47FBE"/>
    <w:rsid w:val="00C54E6C"/>
    <w:rsid w:val="00C54EFF"/>
    <w:rsid w:val="00C56FCE"/>
    <w:rsid w:val="00C572E7"/>
    <w:rsid w:val="00C63240"/>
    <w:rsid w:val="00C65EC4"/>
    <w:rsid w:val="00C72B8B"/>
    <w:rsid w:val="00C72B9B"/>
    <w:rsid w:val="00C73A94"/>
    <w:rsid w:val="00C85028"/>
    <w:rsid w:val="00C8624D"/>
    <w:rsid w:val="00C87648"/>
    <w:rsid w:val="00C9284A"/>
    <w:rsid w:val="00C92BFB"/>
    <w:rsid w:val="00C9721D"/>
    <w:rsid w:val="00CA0FD6"/>
    <w:rsid w:val="00CA1D08"/>
    <w:rsid w:val="00CA21E6"/>
    <w:rsid w:val="00CA2AB4"/>
    <w:rsid w:val="00CB0100"/>
    <w:rsid w:val="00CB1B15"/>
    <w:rsid w:val="00CB2093"/>
    <w:rsid w:val="00CB3658"/>
    <w:rsid w:val="00CB66E0"/>
    <w:rsid w:val="00CC50F5"/>
    <w:rsid w:val="00CC6534"/>
    <w:rsid w:val="00CC699F"/>
    <w:rsid w:val="00CC6BE6"/>
    <w:rsid w:val="00CD1039"/>
    <w:rsid w:val="00CD35D7"/>
    <w:rsid w:val="00CE183D"/>
    <w:rsid w:val="00CE22E7"/>
    <w:rsid w:val="00CE5BEB"/>
    <w:rsid w:val="00CE5C05"/>
    <w:rsid w:val="00CE69E9"/>
    <w:rsid w:val="00CE7C4A"/>
    <w:rsid w:val="00CF45F8"/>
    <w:rsid w:val="00CF493D"/>
    <w:rsid w:val="00CF7037"/>
    <w:rsid w:val="00D07335"/>
    <w:rsid w:val="00D0764C"/>
    <w:rsid w:val="00D11274"/>
    <w:rsid w:val="00D115BC"/>
    <w:rsid w:val="00D223CF"/>
    <w:rsid w:val="00D25074"/>
    <w:rsid w:val="00D26150"/>
    <w:rsid w:val="00D26296"/>
    <w:rsid w:val="00D3724A"/>
    <w:rsid w:val="00D37D47"/>
    <w:rsid w:val="00D51CDF"/>
    <w:rsid w:val="00D53B32"/>
    <w:rsid w:val="00D57DD0"/>
    <w:rsid w:val="00D71B23"/>
    <w:rsid w:val="00D74ABB"/>
    <w:rsid w:val="00D74FC8"/>
    <w:rsid w:val="00D7591B"/>
    <w:rsid w:val="00D75D77"/>
    <w:rsid w:val="00D76B85"/>
    <w:rsid w:val="00D77484"/>
    <w:rsid w:val="00D840A4"/>
    <w:rsid w:val="00D848AE"/>
    <w:rsid w:val="00D90821"/>
    <w:rsid w:val="00D90D1E"/>
    <w:rsid w:val="00D939A0"/>
    <w:rsid w:val="00DA09AE"/>
    <w:rsid w:val="00DA11A0"/>
    <w:rsid w:val="00DA1D49"/>
    <w:rsid w:val="00DA3CD5"/>
    <w:rsid w:val="00DA676B"/>
    <w:rsid w:val="00DA690B"/>
    <w:rsid w:val="00DA73A9"/>
    <w:rsid w:val="00DA73E8"/>
    <w:rsid w:val="00DB3F46"/>
    <w:rsid w:val="00DB7891"/>
    <w:rsid w:val="00DC0937"/>
    <w:rsid w:val="00DC4BCF"/>
    <w:rsid w:val="00DD4BBD"/>
    <w:rsid w:val="00DD5CF1"/>
    <w:rsid w:val="00DD6B12"/>
    <w:rsid w:val="00DE1BEA"/>
    <w:rsid w:val="00DE23C6"/>
    <w:rsid w:val="00DE2F43"/>
    <w:rsid w:val="00DE4604"/>
    <w:rsid w:val="00DE4A57"/>
    <w:rsid w:val="00DE4FBD"/>
    <w:rsid w:val="00DE5A02"/>
    <w:rsid w:val="00DE5FE4"/>
    <w:rsid w:val="00DF2EE9"/>
    <w:rsid w:val="00DF3832"/>
    <w:rsid w:val="00DF585F"/>
    <w:rsid w:val="00DF6BF4"/>
    <w:rsid w:val="00DF70BC"/>
    <w:rsid w:val="00E002CE"/>
    <w:rsid w:val="00E01808"/>
    <w:rsid w:val="00E05663"/>
    <w:rsid w:val="00E07752"/>
    <w:rsid w:val="00E135DE"/>
    <w:rsid w:val="00E15FF8"/>
    <w:rsid w:val="00E16609"/>
    <w:rsid w:val="00E233F3"/>
    <w:rsid w:val="00E246FA"/>
    <w:rsid w:val="00E26EF6"/>
    <w:rsid w:val="00E270C1"/>
    <w:rsid w:val="00E414DC"/>
    <w:rsid w:val="00E44EB3"/>
    <w:rsid w:val="00E46FB6"/>
    <w:rsid w:val="00E5040B"/>
    <w:rsid w:val="00E56C0E"/>
    <w:rsid w:val="00E66CEE"/>
    <w:rsid w:val="00E66E6B"/>
    <w:rsid w:val="00E67AFC"/>
    <w:rsid w:val="00E67CE4"/>
    <w:rsid w:val="00E736C9"/>
    <w:rsid w:val="00E81B01"/>
    <w:rsid w:val="00E81F3E"/>
    <w:rsid w:val="00E83144"/>
    <w:rsid w:val="00E84989"/>
    <w:rsid w:val="00E859BD"/>
    <w:rsid w:val="00E95094"/>
    <w:rsid w:val="00E95E3A"/>
    <w:rsid w:val="00E95E3F"/>
    <w:rsid w:val="00E95FA2"/>
    <w:rsid w:val="00E96759"/>
    <w:rsid w:val="00E97963"/>
    <w:rsid w:val="00EA24CD"/>
    <w:rsid w:val="00EA36AE"/>
    <w:rsid w:val="00EA4162"/>
    <w:rsid w:val="00EA5C13"/>
    <w:rsid w:val="00EB0CE3"/>
    <w:rsid w:val="00EB3104"/>
    <w:rsid w:val="00EB339A"/>
    <w:rsid w:val="00EB34FC"/>
    <w:rsid w:val="00EB7389"/>
    <w:rsid w:val="00EB76E1"/>
    <w:rsid w:val="00EB78C3"/>
    <w:rsid w:val="00EC5C3F"/>
    <w:rsid w:val="00ED05CC"/>
    <w:rsid w:val="00ED10A2"/>
    <w:rsid w:val="00ED39A8"/>
    <w:rsid w:val="00ED5E33"/>
    <w:rsid w:val="00ED7203"/>
    <w:rsid w:val="00ED7523"/>
    <w:rsid w:val="00EE5E71"/>
    <w:rsid w:val="00EE6D74"/>
    <w:rsid w:val="00EE6DFE"/>
    <w:rsid w:val="00EF7148"/>
    <w:rsid w:val="00EF7AF7"/>
    <w:rsid w:val="00F02C75"/>
    <w:rsid w:val="00F04F8E"/>
    <w:rsid w:val="00F104DB"/>
    <w:rsid w:val="00F11B2F"/>
    <w:rsid w:val="00F12DDB"/>
    <w:rsid w:val="00F20DCF"/>
    <w:rsid w:val="00F42D33"/>
    <w:rsid w:val="00F4345B"/>
    <w:rsid w:val="00F44247"/>
    <w:rsid w:val="00F44AB5"/>
    <w:rsid w:val="00F45D9C"/>
    <w:rsid w:val="00F4619A"/>
    <w:rsid w:val="00F4752B"/>
    <w:rsid w:val="00F51D39"/>
    <w:rsid w:val="00F53776"/>
    <w:rsid w:val="00F537F6"/>
    <w:rsid w:val="00F554F9"/>
    <w:rsid w:val="00F56792"/>
    <w:rsid w:val="00F57F2D"/>
    <w:rsid w:val="00F645F2"/>
    <w:rsid w:val="00F6535B"/>
    <w:rsid w:val="00F66F85"/>
    <w:rsid w:val="00F716EA"/>
    <w:rsid w:val="00F7242E"/>
    <w:rsid w:val="00F745F0"/>
    <w:rsid w:val="00F82EE8"/>
    <w:rsid w:val="00F961D4"/>
    <w:rsid w:val="00F9699D"/>
    <w:rsid w:val="00FA229D"/>
    <w:rsid w:val="00FA57D7"/>
    <w:rsid w:val="00FB0B98"/>
    <w:rsid w:val="00FC17B4"/>
    <w:rsid w:val="00FC225C"/>
    <w:rsid w:val="00FC4D33"/>
    <w:rsid w:val="00FC6504"/>
    <w:rsid w:val="00FD2583"/>
    <w:rsid w:val="00FD3428"/>
    <w:rsid w:val="00FD3928"/>
    <w:rsid w:val="00FD5A8C"/>
    <w:rsid w:val="00FD7655"/>
    <w:rsid w:val="00FE206A"/>
    <w:rsid w:val="00FE3233"/>
    <w:rsid w:val="00FE4C09"/>
    <w:rsid w:val="00FE6A9C"/>
    <w:rsid w:val="00FE7E72"/>
    <w:rsid w:val="00FF105B"/>
    <w:rsid w:val="00FF5DE2"/>
    <w:rsid w:val="00FF5E4E"/>
    <w:rsid w:val="00FF7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C578E"/>
    <w:pPr>
      <w:keepNext/>
      <w:spacing w:before="240" w:after="120"/>
      <w:outlineLvl w:val="0"/>
    </w:pPr>
    <w:rPr>
      <w:b/>
      <w:bCs/>
      <w:smallCaps/>
      <w:kern w:val="32"/>
      <w:sz w:val="36"/>
      <w:szCs w:val="32"/>
    </w:rPr>
  </w:style>
  <w:style w:type="paragraph" w:styleId="Heading2">
    <w:name w:val="heading 2"/>
    <w:basedOn w:val="Normal"/>
    <w:next w:val="Normal"/>
    <w:link w:val="Heading2Char"/>
    <w:qFormat/>
    <w:rsid w:val="006C578E"/>
    <w:pPr>
      <w:keepNext/>
      <w:spacing w:before="240" w:after="60"/>
      <w:outlineLvl w:val="1"/>
    </w:pPr>
    <w:rPr>
      <w:b/>
      <w:bCs/>
      <w:iCs/>
      <w:smallCaps/>
      <w:sz w:val="32"/>
      <w:szCs w:val="32"/>
    </w:rPr>
  </w:style>
  <w:style w:type="paragraph" w:styleId="Heading3">
    <w:name w:val="heading 3"/>
    <w:basedOn w:val="Normal"/>
    <w:next w:val="Normal"/>
    <w:link w:val="Heading3Char"/>
    <w:qFormat/>
    <w:rsid w:val="00892F8C"/>
    <w:pP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578E"/>
    <w:rPr>
      <w:rFonts w:ascii="Times New Roman" w:eastAsia="Times New Roman" w:hAnsi="Times New Roman" w:cs="Times New Roman"/>
      <w:b/>
      <w:bCs/>
      <w:smallCaps/>
      <w:kern w:val="32"/>
      <w:sz w:val="36"/>
      <w:szCs w:val="32"/>
    </w:rPr>
  </w:style>
  <w:style w:type="character" w:customStyle="1" w:styleId="Heading2Char">
    <w:name w:val="Heading 2 Char"/>
    <w:basedOn w:val="DefaultParagraphFont"/>
    <w:link w:val="Heading2"/>
    <w:rsid w:val="006C578E"/>
    <w:rPr>
      <w:rFonts w:ascii="Times New Roman" w:eastAsia="Times New Roman" w:hAnsi="Times New Roman" w:cs="Times New Roman"/>
      <w:b/>
      <w:bCs/>
      <w:iCs/>
      <w:smallCaps/>
      <w:sz w:val="32"/>
      <w:szCs w:val="32"/>
    </w:rPr>
  </w:style>
  <w:style w:type="character" w:customStyle="1" w:styleId="Heading3Char">
    <w:name w:val="Heading 3 Char"/>
    <w:basedOn w:val="DefaultParagraphFont"/>
    <w:link w:val="Heading3"/>
    <w:rsid w:val="00892F8C"/>
    <w:rPr>
      <w:rFonts w:ascii="Times New Roman" w:eastAsia="Times New Roman" w:hAnsi="Times New Roman" w:cs="Times New Roman"/>
      <w:b/>
      <w:sz w:val="28"/>
      <w:szCs w:val="28"/>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892F8C"/>
    <w:pPr>
      <w:jc w:val="center"/>
    </w:pPr>
    <w:rPr>
      <w:b/>
    </w:rPr>
  </w:style>
  <w:style w:type="character" w:customStyle="1" w:styleId="CaptionChar">
    <w:name w:val="Caption Char"/>
    <w:basedOn w:val="DefaultParagraphFont"/>
    <w:link w:val="Caption"/>
    <w:rsid w:val="00892F8C"/>
    <w:rPr>
      <w:rFonts w:ascii="Times New Roman" w:eastAsia="Times New Roman" w:hAnsi="Times New Roman" w:cs="Times New Roman"/>
      <w:b/>
      <w:sz w:val="24"/>
      <w:szCs w:val="24"/>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styleId="ListParagraph">
    <w:name w:val="List Paragraph"/>
    <w:basedOn w:val="Normal"/>
    <w:uiPriority w:val="34"/>
    <w:qFormat/>
    <w:rsid w:val="006870A5"/>
    <w:pPr>
      <w:ind w:left="720"/>
      <w:contextualSpacing/>
    </w:pPr>
  </w:style>
  <w:style w:type="paragraph" w:customStyle="1" w:styleId="Normal2">
    <w:name w:val="Normal2"/>
    <w:basedOn w:val="Normal"/>
    <w:next w:val="Normal"/>
    <w:link w:val="Normal2Char"/>
    <w:uiPriority w:val="99"/>
    <w:rsid w:val="006870A5"/>
    <w:pPr>
      <w:spacing w:line="280" w:lineRule="atLeast"/>
    </w:pPr>
  </w:style>
  <w:style w:type="character" w:customStyle="1" w:styleId="Normal2Char">
    <w:name w:val="Normal2 Char"/>
    <w:link w:val="Normal2"/>
    <w:uiPriority w:val="99"/>
    <w:rsid w:val="006870A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72472"/>
    <w:rPr>
      <w:color w:val="800080" w:themeColor="followedHyperlink"/>
      <w:u w:val="single"/>
    </w:rPr>
  </w:style>
  <w:style w:type="paragraph" w:styleId="EndnoteText">
    <w:name w:val="endnote text"/>
    <w:basedOn w:val="Normal"/>
    <w:link w:val="EndnoteTextChar"/>
    <w:uiPriority w:val="99"/>
    <w:semiHidden/>
    <w:rsid w:val="004947A7"/>
    <w:rPr>
      <w:sz w:val="20"/>
      <w:szCs w:val="20"/>
    </w:rPr>
  </w:style>
  <w:style w:type="character" w:customStyle="1" w:styleId="EndnoteTextChar">
    <w:name w:val="Endnote Text Char"/>
    <w:basedOn w:val="DefaultParagraphFont"/>
    <w:link w:val="EndnoteText"/>
    <w:uiPriority w:val="99"/>
    <w:semiHidden/>
    <w:rsid w:val="004947A7"/>
    <w:rPr>
      <w:rFonts w:ascii="Times New Roman" w:eastAsia="Times New Roman" w:hAnsi="Times New Roman" w:cs="Times New Roman"/>
      <w:sz w:val="20"/>
      <w:szCs w:val="20"/>
    </w:rPr>
  </w:style>
  <w:style w:type="character" w:styleId="EndnoteReference">
    <w:name w:val="endnote reference"/>
    <w:uiPriority w:val="99"/>
    <w:semiHidden/>
    <w:rsid w:val="004947A7"/>
    <w:rPr>
      <w:vertAlign w:val="superscript"/>
    </w:rPr>
  </w:style>
  <w:style w:type="paragraph" w:styleId="FootnoteText">
    <w:name w:val="footnote text"/>
    <w:basedOn w:val="Normal"/>
    <w:link w:val="FootnoteTextChar"/>
    <w:uiPriority w:val="99"/>
    <w:semiHidden/>
    <w:unhideWhenUsed/>
    <w:rsid w:val="00BA6DAF"/>
    <w:rPr>
      <w:rFonts w:eastAsia="Batang"/>
      <w:sz w:val="20"/>
      <w:szCs w:val="20"/>
      <w:lang w:eastAsia="ko-KR"/>
    </w:rPr>
  </w:style>
  <w:style w:type="character" w:customStyle="1" w:styleId="FootnoteTextChar">
    <w:name w:val="Footnote Text Char"/>
    <w:basedOn w:val="DefaultParagraphFont"/>
    <w:link w:val="FootnoteText"/>
    <w:uiPriority w:val="99"/>
    <w:semiHidden/>
    <w:rsid w:val="00BA6DAF"/>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BA6DAF"/>
    <w:rPr>
      <w:vertAlign w:val="superscript"/>
    </w:rPr>
  </w:style>
  <w:style w:type="paragraph" w:styleId="TOCHeading">
    <w:name w:val="TOC Heading"/>
    <w:basedOn w:val="Heading1"/>
    <w:next w:val="Normal"/>
    <w:uiPriority w:val="39"/>
    <w:semiHidden/>
    <w:unhideWhenUsed/>
    <w:qFormat/>
    <w:rsid w:val="00E736C9"/>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qFormat/>
    <w:rsid w:val="00E736C9"/>
    <w:pPr>
      <w:spacing w:after="100"/>
    </w:pPr>
  </w:style>
  <w:style w:type="paragraph" w:styleId="TOC2">
    <w:name w:val="toc 2"/>
    <w:basedOn w:val="Normal"/>
    <w:next w:val="Normal"/>
    <w:autoRedefine/>
    <w:uiPriority w:val="39"/>
    <w:unhideWhenUsed/>
    <w:qFormat/>
    <w:rsid w:val="00251191"/>
    <w:pPr>
      <w:tabs>
        <w:tab w:val="right" w:leader="dot" w:pos="9350"/>
      </w:tabs>
      <w:ind w:left="245"/>
      <w:contextualSpacing/>
    </w:pPr>
  </w:style>
  <w:style w:type="paragraph" w:styleId="TOC3">
    <w:name w:val="toc 3"/>
    <w:basedOn w:val="Normal"/>
    <w:next w:val="Normal"/>
    <w:autoRedefine/>
    <w:uiPriority w:val="39"/>
    <w:unhideWhenUsed/>
    <w:qFormat/>
    <w:rsid w:val="00E736C9"/>
    <w:pPr>
      <w:tabs>
        <w:tab w:val="right" w:leader="dot" w:pos="9350"/>
      </w:tabs>
      <w:ind w:left="475"/>
    </w:pPr>
  </w:style>
  <w:style w:type="paragraph" w:styleId="TableofFigures">
    <w:name w:val="table of figures"/>
    <w:basedOn w:val="Normal"/>
    <w:next w:val="Normal"/>
    <w:uiPriority w:val="99"/>
    <w:unhideWhenUsed/>
    <w:rsid w:val="00745F0F"/>
  </w:style>
  <w:style w:type="character" w:styleId="Strong">
    <w:name w:val="Strong"/>
    <w:qFormat/>
    <w:rsid w:val="009133FD"/>
    <w:rPr>
      <w:rFonts w:ascii="Arial" w:hAnsi="Arial"/>
      <w:b/>
      <w:bCs/>
      <w:sz w:val="22"/>
    </w:rPr>
  </w:style>
  <w:style w:type="character" w:customStyle="1" w:styleId="TitleChar">
    <w:name w:val="Title Char"/>
    <w:locked/>
    <w:rsid w:val="009133FD"/>
    <w:rPr>
      <w:rFonts w:ascii="Arial" w:hAnsi="Arial"/>
      <w:b/>
      <w:color w:val="17365D"/>
      <w:spacing w:val="5"/>
      <w:kern w:val="28"/>
      <w:sz w:val="48"/>
      <w:szCs w:val="52"/>
      <w:lang w:eastAsia="ko-KR"/>
    </w:rPr>
  </w:style>
  <w:style w:type="paragraph" w:styleId="Title">
    <w:name w:val="Title"/>
    <w:basedOn w:val="Normal"/>
    <w:next w:val="Normal"/>
    <w:link w:val="TitleChar1"/>
    <w:uiPriority w:val="10"/>
    <w:qFormat/>
    <w:rsid w:val="00127E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DefaultParagraphFont"/>
    <w:link w:val="Title"/>
    <w:uiPriority w:val="10"/>
    <w:rsid w:val="00127E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27E3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127E3F"/>
    <w:rPr>
      <w:rFonts w:asciiTheme="majorHAnsi" w:eastAsiaTheme="majorEastAsia" w:hAnsiTheme="majorHAnsi" w:cstheme="majorBidi"/>
      <w:i/>
      <w:iCs/>
      <w:color w:val="4F81BD" w:themeColor="accent1"/>
      <w:spacing w:val="15"/>
      <w:sz w:val="24"/>
      <w:szCs w:val="24"/>
    </w:rPr>
  </w:style>
  <w:style w:type="paragraph" w:customStyle="1" w:styleId="Workpapertitle">
    <w:name w:val="Work paper title"/>
    <w:basedOn w:val="Normal"/>
    <w:link w:val="WorkpapertitleChar"/>
    <w:qFormat/>
    <w:rsid w:val="006D5F53"/>
    <w:rPr>
      <w:b/>
      <w:sz w:val="72"/>
      <w:szCs w:val="72"/>
    </w:rPr>
  </w:style>
  <w:style w:type="character" w:customStyle="1" w:styleId="WorkpapertitleChar">
    <w:name w:val="Work paper title Char"/>
    <w:basedOn w:val="DefaultParagraphFont"/>
    <w:link w:val="Workpapertitle"/>
    <w:rsid w:val="006D5F53"/>
    <w:rPr>
      <w:rFonts w:ascii="Times New Roman" w:eastAsia="Times New Roman" w:hAnsi="Times New Roman" w:cs="Times New Roman"/>
      <w:b/>
      <w:sz w:val="72"/>
      <w:szCs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C578E"/>
    <w:pPr>
      <w:keepNext/>
      <w:spacing w:before="240" w:after="120"/>
      <w:outlineLvl w:val="0"/>
    </w:pPr>
    <w:rPr>
      <w:b/>
      <w:bCs/>
      <w:smallCaps/>
      <w:kern w:val="32"/>
      <w:sz w:val="36"/>
      <w:szCs w:val="32"/>
    </w:rPr>
  </w:style>
  <w:style w:type="paragraph" w:styleId="Heading2">
    <w:name w:val="heading 2"/>
    <w:basedOn w:val="Normal"/>
    <w:next w:val="Normal"/>
    <w:link w:val="Heading2Char"/>
    <w:qFormat/>
    <w:rsid w:val="006C578E"/>
    <w:pPr>
      <w:keepNext/>
      <w:spacing w:before="240" w:after="60"/>
      <w:outlineLvl w:val="1"/>
    </w:pPr>
    <w:rPr>
      <w:b/>
      <w:bCs/>
      <w:iCs/>
      <w:smallCaps/>
      <w:sz w:val="32"/>
      <w:szCs w:val="32"/>
    </w:rPr>
  </w:style>
  <w:style w:type="paragraph" w:styleId="Heading3">
    <w:name w:val="heading 3"/>
    <w:basedOn w:val="Normal"/>
    <w:next w:val="Normal"/>
    <w:link w:val="Heading3Char"/>
    <w:qFormat/>
    <w:rsid w:val="00892F8C"/>
    <w:pP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578E"/>
    <w:rPr>
      <w:rFonts w:ascii="Times New Roman" w:eastAsia="Times New Roman" w:hAnsi="Times New Roman" w:cs="Times New Roman"/>
      <w:b/>
      <w:bCs/>
      <w:smallCaps/>
      <w:kern w:val="32"/>
      <w:sz w:val="36"/>
      <w:szCs w:val="32"/>
    </w:rPr>
  </w:style>
  <w:style w:type="character" w:customStyle="1" w:styleId="Heading2Char">
    <w:name w:val="Heading 2 Char"/>
    <w:basedOn w:val="DefaultParagraphFont"/>
    <w:link w:val="Heading2"/>
    <w:rsid w:val="006C578E"/>
    <w:rPr>
      <w:rFonts w:ascii="Times New Roman" w:eastAsia="Times New Roman" w:hAnsi="Times New Roman" w:cs="Times New Roman"/>
      <w:b/>
      <w:bCs/>
      <w:iCs/>
      <w:smallCaps/>
      <w:sz w:val="32"/>
      <w:szCs w:val="32"/>
    </w:rPr>
  </w:style>
  <w:style w:type="character" w:customStyle="1" w:styleId="Heading3Char">
    <w:name w:val="Heading 3 Char"/>
    <w:basedOn w:val="DefaultParagraphFont"/>
    <w:link w:val="Heading3"/>
    <w:rsid w:val="00892F8C"/>
    <w:rPr>
      <w:rFonts w:ascii="Times New Roman" w:eastAsia="Times New Roman" w:hAnsi="Times New Roman" w:cs="Times New Roman"/>
      <w:b/>
      <w:sz w:val="28"/>
      <w:szCs w:val="28"/>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892F8C"/>
    <w:pPr>
      <w:jc w:val="center"/>
    </w:pPr>
    <w:rPr>
      <w:b/>
    </w:rPr>
  </w:style>
  <w:style w:type="character" w:customStyle="1" w:styleId="CaptionChar">
    <w:name w:val="Caption Char"/>
    <w:basedOn w:val="DefaultParagraphFont"/>
    <w:link w:val="Caption"/>
    <w:rsid w:val="00892F8C"/>
    <w:rPr>
      <w:rFonts w:ascii="Times New Roman" w:eastAsia="Times New Roman" w:hAnsi="Times New Roman" w:cs="Times New Roman"/>
      <w:b/>
      <w:sz w:val="24"/>
      <w:szCs w:val="24"/>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styleId="ListParagraph">
    <w:name w:val="List Paragraph"/>
    <w:basedOn w:val="Normal"/>
    <w:uiPriority w:val="34"/>
    <w:qFormat/>
    <w:rsid w:val="006870A5"/>
    <w:pPr>
      <w:ind w:left="720"/>
      <w:contextualSpacing/>
    </w:pPr>
  </w:style>
  <w:style w:type="paragraph" w:customStyle="1" w:styleId="Normal2">
    <w:name w:val="Normal2"/>
    <w:basedOn w:val="Normal"/>
    <w:next w:val="Normal"/>
    <w:link w:val="Normal2Char"/>
    <w:uiPriority w:val="99"/>
    <w:rsid w:val="006870A5"/>
    <w:pPr>
      <w:spacing w:line="280" w:lineRule="atLeast"/>
    </w:pPr>
  </w:style>
  <w:style w:type="character" w:customStyle="1" w:styleId="Normal2Char">
    <w:name w:val="Normal2 Char"/>
    <w:link w:val="Normal2"/>
    <w:uiPriority w:val="99"/>
    <w:rsid w:val="006870A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72472"/>
    <w:rPr>
      <w:color w:val="800080" w:themeColor="followedHyperlink"/>
      <w:u w:val="single"/>
    </w:rPr>
  </w:style>
  <w:style w:type="paragraph" w:styleId="EndnoteText">
    <w:name w:val="endnote text"/>
    <w:basedOn w:val="Normal"/>
    <w:link w:val="EndnoteTextChar"/>
    <w:uiPriority w:val="99"/>
    <w:semiHidden/>
    <w:rsid w:val="004947A7"/>
    <w:rPr>
      <w:sz w:val="20"/>
      <w:szCs w:val="20"/>
    </w:rPr>
  </w:style>
  <w:style w:type="character" w:customStyle="1" w:styleId="EndnoteTextChar">
    <w:name w:val="Endnote Text Char"/>
    <w:basedOn w:val="DefaultParagraphFont"/>
    <w:link w:val="EndnoteText"/>
    <w:uiPriority w:val="99"/>
    <w:semiHidden/>
    <w:rsid w:val="004947A7"/>
    <w:rPr>
      <w:rFonts w:ascii="Times New Roman" w:eastAsia="Times New Roman" w:hAnsi="Times New Roman" w:cs="Times New Roman"/>
      <w:sz w:val="20"/>
      <w:szCs w:val="20"/>
    </w:rPr>
  </w:style>
  <w:style w:type="character" w:styleId="EndnoteReference">
    <w:name w:val="endnote reference"/>
    <w:uiPriority w:val="99"/>
    <w:semiHidden/>
    <w:rsid w:val="004947A7"/>
    <w:rPr>
      <w:vertAlign w:val="superscript"/>
    </w:rPr>
  </w:style>
  <w:style w:type="paragraph" w:styleId="FootnoteText">
    <w:name w:val="footnote text"/>
    <w:basedOn w:val="Normal"/>
    <w:link w:val="FootnoteTextChar"/>
    <w:uiPriority w:val="99"/>
    <w:semiHidden/>
    <w:unhideWhenUsed/>
    <w:rsid w:val="00BA6DAF"/>
    <w:rPr>
      <w:rFonts w:eastAsia="Batang"/>
      <w:sz w:val="20"/>
      <w:szCs w:val="20"/>
      <w:lang w:eastAsia="ko-KR"/>
    </w:rPr>
  </w:style>
  <w:style w:type="character" w:customStyle="1" w:styleId="FootnoteTextChar">
    <w:name w:val="Footnote Text Char"/>
    <w:basedOn w:val="DefaultParagraphFont"/>
    <w:link w:val="FootnoteText"/>
    <w:uiPriority w:val="99"/>
    <w:semiHidden/>
    <w:rsid w:val="00BA6DAF"/>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BA6DAF"/>
    <w:rPr>
      <w:vertAlign w:val="superscript"/>
    </w:rPr>
  </w:style>
  <w:style w:type="paragraph" w:styleId="TOCHeading">
    <w:name w:val="TOC Heading"/>
    <w:basedOn w:val="Heading1"/>
    <w:next w:val="Normal"/>
    <w:uiPriority w:val="39"/>
    <w:semiHidden/>
    <w:unhideWhenUsed/>
    <w:qFormat/>
    <w:rsid w:val="00E736C9"/>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qFormat/>
    <w:rsid w:val="00E736C9"/>
    <w:pPr>
      <w:spacing w:after="100"/>
    </w:pPr>
  </w:style>
  <w:style w:type="paragraph" w:styleId="TOC2">
    <w:name w:val="toc 2"/>
    <w:basedOn w:val="Normal"/>
    <w:next w:val="Normal"/>
    <w:autoRedefine/>
    <w:uiPriority w:val="39"/>
    <w:unhideWhenUsed/>
    <w:qFormat/>
    <w:rsid w:val="00251191"/>
    <w:pPr>
      <w:tabs>
        <w:tab w:val="right" w:leader="dot" w:pos="9350"/>
      </w:tabs>
      <w:ind w:left="245"/>
      <w:contextualSpacing/>
    </w:pPr>
  </w:style>
  <w:style w:type="paragraph" w:styleId="TOC3">
    <w:name w:val="toc 3"/>
    <w:basedOn w:val="Normal"/>
    <w:next w:val="Normal"/>
    <w:autoRedefine/>
    <w:uiPriority w:val="39"/>
    <w:unhideWhenUsed/>
    <w:qFormat/>
    <w:rsid w:val="00E736C9"/>
    <w:pPr>
      <w:tabs>
        <w:tab w:val="right" w:leader="dot" w:pos="9350"/>
      </w:tabs>
      <w:ind w:left="475"/>
    </w:pPr>
  </w:style>
  <w:style w:type="paragraph" w:styleId="TableofFigures">
    <w:name w:val="table of figures"/>
    <w:basedOn w:val="Normal"/>
    <w:next w:val="Normal"/>
    <w:uiPriority w:val="99"/>
    <w:unhideWhenUsed/>
    <w:rsid w:val="00745F0F"/>
  </w:style>
  <w:style w:type="character" w:styleId="Strong">
    <w:name w:val="Strong"/>
    <w:qFormat/>
    <w:rsid w:val="009133FD"/>
    <w:rPr>
      <w:rFonts w:ascii="Arial" w:hAnsi="Arial"/>
      <w:b/>
      <w:bCs/>
      <w:sz w:val="22"/>
    </w:rPr>
  </w:style>
  <w:style w:type="character" w:customStyle="1" w:styleId="TitleChar">
    <w:name w:val="Title Char"/>
    <w:locked/>
    <w:rsid w:val="009133FD"/>
    <w:rPr>
      <w:rFonts w:ascii="Arial" w:hAnsi="Arial"/>
      <w:b/>
      <w:color w:val="17365D"/>
      <w:spacing w:val="5"/>
      <w:kern w:val="28"/>
      <w:sz w:val="48"/>
      <w:szCs w:val="52"/>
      <w:lang w:eastAsia="ko-KR"/>
    </w:rPr>
  </w:style>
  <w:style w:type="paragraph" w:styleId="Title">
    <w:name w:val="Title"/>
    <w:basedOn w:val="Normal"/>
    <w:next w:val="Normal"/>
    <w:link w:val="TitleChar1"/>
    <w:uiPriority w:val="10"/>
    <w:qFormat/>
    <w:rsid w:val="00127E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DefaultParagraphFont"/>
    <w:link w:val="Title"/>
    <w:uiPriority w:val="10"/>
    <w:rsid w:val="00127E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27E3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127E3F"/>
    <w:rPr>
      <w:rFonts w:asciiTheme="majorHAnsi" w:eastAsiaTheme="majorEastAsia" w:hAnsiTheme="majorHAnsi" w:cstheme="majorBidi"/>
      <w:i/>
      <w:iCs/>
      <w:color w:val="4F81BD" w:themeColor="accent1"/>
      <w:spacing w:val="15"/>
      <w:sz w:val="24"/>
      <w:szCs w:val="24"/>
    </w:rPr>
  </w:style>
  <w:style w:type="paragraph" w:customStyle="1" w:styleId="Workpapertitle">
    <w:name w:val="Work paper title"/>
    <w:basedOn w:val="Normal"/>
    <w:link w:val="WorkpapertitleChar"/>
    <w:qFormat/>
    <w:rsid w:val="006D5F53"/>
    <w:rPr>
      <w:b/>
      <w:sz w:val="72"/>
      <w:szCs w:val="72"/>
    </w:rPr>
  </w:style>
  <w:style w:type="character" w:customStyle="1" w:styleId="WorkpapertitleChar">
    <w:name w:val="Work paper title Char"/>
    <w:basedOn w:val="DefaultParagraphFont"/>
    <w:link w:val="Workpapertitle"/>
    <w:rsid w:val="006D5F53"/>
    <w:rPr>
      <w:rFonts w:ascii="Times New Roman" w:eastAsia="Times New Roman" w:hAnsi="Times New Roman" w:cs="Times New Roman"/>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40177">
      <w:bodyDiv w:val="1"/>
      <w:marLeft w:val="0"/>
      <w:marRight w:val="0"/>
      <w:marTop w:val="0"/>
      <w:marBottom w:val="0"/>
      <w:divBdr>
        <w:top w:val="none" w:sz="0" w:space="0" w:color="auto"/>
        <w:left w:val="none" w:sz="0" w:space="0" w:color="auto"/>
        <w:bottom w:val="none" w:sz="0" w:space="0" w:color="auto"/>
        <w:right w:val="none" w:sz="0" w:space="0" w:color="auto"/>
      </w:divBdr>
    </w:div>
    <w:div w:id="125320085">
      <w:bodyDiv w:val="1"/>
      <w:marLeft w:val="0"/>
      <w:marRight w:val="0"/>
      <w:marTop w:val="0"/>
      <w:marBottom w:val="0"/>
      <w:divBdr>
        <w:top w:val="none" w:sz="0" w:space="0" w:color="auto"/>
        <w:left w:val="none" w:sz="0" w:space="0" w:color="auto"/>
        <w:bottom w:val="none" w:sz="0" w:space="0" w:color="auto"/>
        <w:right w:val="none" w:sz="0" w:space="0" w:color="auto"/>
      </w:divBdr>
    </w:div>
    <w:div w:id="167671654">
      <w:bodyDiv w:val="1"/>
      <w:marLeft w:val="0"/>
      <w:marRight w:val="0"/>
      <w:marTop w:val="0"/>
      <w:marBottom w:val="0"/>
      <w:divBdr>
        <w:top w:val="none" w:sz="0" w:space="0" w:color="auto"/>
        <w:left w:val="none" w:sz="0" w:space="0" w:color="auto"/>
        <w:bottom w:val="none" w:sz="0" w:space="0" w:color="auto"/>
        <w:right w:val="none" w:sz="0" w:space="0" w:color="auto"/>
      </w:divBdr>
    </w:div>
    <w:div w:id="202834269">
      <w:bodyDiv w:val="1"/>
      <w:marLeft w:val="0"/>
      <w:marRight w:val="0"/>
      <w:marTop w:val="0"/>
      <w:marBottom w:val="0"/>
      <w:divBdr>
        <w:top w:val="none" w:sz="0" w:space="0" w:color="auto"/>
        <w:left w:val="none" w:sz="0" w:space="0" w:color="auto"/>
        <w:bottom w:val="none" w:sz="0" w:space="0" w:color="auto"/>
        <w:right w:val="none" w:sz="0" w:space="0" w:color="auto"/>
      </w:divBdr>
    </w:div>
    <w:div w:id="231817685">
      <w:bodyDiv w:val="1"/>
      <w:marLeft w:val="0"/>
      <w:marRight w:val="0"/>
      <w:marTop w:val="0"/>
      <w:marBottom w:val="0"/>
      <w:divBdr>
        <w:top w:val="none" w:sz="0" w:space="0" w:color="auto"/>
        <w:left w:val="none" w:sz="0" w:space="0" w:color="auto"/>
        <w:bottom w:val="none" w:sz="0" w:space="0" w:color="auto"/>
        <w:right w:val="none" w:sz="0" w:space="0" w:color="auto"/>
      </w:divBdr>
    </w:div>
    <w:div w:id="293609601">
      <w:bodyDiv w:val="1"/>
      <w:marLeft w:val="0"/>
      <w:marRight w:val="0"/>
      <w:marTop w:val="0"/>
      <w:marBottom w:val="0"/>
      <w:divBdr>
        <w:top w:val="none" w:sz="0" w:space="0" w:color="auto"/>
        <w:left w:val="none" w:sz="0" w:space="0" w:color="auto"/>
        <w:bottom w:val="none" w:sz="0" w:space="0" w:color="auto"/>
        <w:right w:val="none" w:sz="0" w:space="0" w:color="auto"/>
      </w:divBdr>
    </w:div>
    <w:div w:id="350762370">
      <w:bodyDiv w:val="1"/>
      <w:marLeft w:val="0"/>
      <w:marRight w:val="0"/>
      <w:marTop w:val="0"/>
      <w:marBottom w:val="0"/>
      <w:divBdr>
        <w:top w:val="none" w:sz="0" w:space="0" w:color="auto"/>
        <w:left w:val="none" w:sz="0" w:space="0" w:color="auto"/>
        <w:bottom w:val="none" w:sz="0" w:space="0" w:color="auto"/>
        <w:right w:val="none" w:sz="0" w:space="0" w:color="auto"/>
      </w:divBdr>
    </w:div>
    <w:div w:id="519515852">
      <w:bodyDiv w:val="1"/>
      <w:marLeft w:val="0"/>
      <w:marRight w:val="0"/>
      <w:marTop w:val="0"/>
      <w:marBottom w:val="0"/>
      <w:divBdr>
        <w:top w:val="none" w:sz="0" w:space="0" w:color="auto"/>
        <w:left w:val="none" w:sz="0" w:space="0" w:color="auto"/>
        <w:bottom w:val="none" w:sz="0" w:space="0" w:color="auto"/>
        <w:right w:val="none" w:sz="0" w:space="0" w:color="auto"/>
      </w:divBdr>
    </w:div>
    <w:div w:id="619074306">
      <w:bodyDiv w:val="1"/>
      <w:marLeft w:val="0"/>
      <w:marRight w:val="0"/>
      <w:marTop w:val="0"/>
      <w:marBottom w:val="0"/>
      <w:divBdr>
        <w:top w:val="none" w:sz="0" w:space="0" w:color="auto"/>
        <w:left w:val="none" w:sz="0" w:space="0" w:color="auto"/>
        <w:bottom w:val="none" w:sz="0" w:space="0" w:color="auto"/>
        <w:right w:val="none" w:sz="0" w:space="0" w:color="auto"/>
      </w:divBdr>
    </w:div>
    <w:div w:id="63773139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25166536">
      <w:bodyDiv w:val="1"/>
      <w:marLeft w:val="0"/>
      <w:marRight w:val="0"/>
      <w:marTop w:val="0"/>
      <w:marBottom w:val="0"/>
      <w:divBdr>
        <w:top w:val="none" w:sz="0" w:space="0" w:color="auto"/>
        <w:left w:val="none" w:sz="0" w:space="0" w:color="auto"/>
        <w:bottom w:val="none" w:sz="0" w:space="0" w:color="auto"/>
        <w:right w:val="none" w:sz="0" w:space="0" w:color="auto"/>
      </w:divBdr>
    </w:div>
    <w:div w:id="868110239">
      <w:bodyDiv w:val="1"/>
      <w:marLeft w:val="0"/>
      <w:marRight w:val="0"/>
      <w:marTop w:val="0"/>
      <w:marBottom w:val="0"/>
      <w:divBdr>
        <w:top w:val="none" w:sz="0" w:space="0" w:color="auto"/>
        <w:left w:val="none" w:sz="0" w:space="0" w:color="auto"/>
        <w:bottom w:val="none" w:sz="0" w:space="0" w:color="auto"/>
        <w:right w:val="none" w:sz="0" w:space="0" w:color="auto"/>
      </w:divBdr>
    </w:div>
    <w:div w:id="9347043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52335706">
      <w:bodyDiv w:val="1"/>
      <w:marLeft w:val="0"/>
      <w:marRight w:val="0"/>
      <w:marTop w:val="0"/>
      <w:marBottom w:val="0"/>
      <w:divBdr>
        <w:top w:val="none" w:sz="0" w:space="0" w:color="auto"/>
        <w:left w:val="none" w:sz="0" w:space="0" w:color="auto"/>
        <w:bottom w:val="none" w:sz="0" w:space="0" w:color="auto"/>
        <w:right w:val="none" w:sz="0" w:space="0" w:color="auto"/>
      </w:divBdr>
    </w:div>
    <w:div w:id="1355229498">
      <w:bodyDiv w:val="1"/>
      <w:marLeft w:val="0"/>
      <w:marRight w:val="0"/>
      <w:marTop w:val="0"/>
      <w:marBottom w:val="0"/>
      <w:divBdr>
        <w:top w:val="none" w:sz="0" w:space="0" w:color="auto"/>
        <w:left w:val="none" w:sz="0" w:space="0" w:color="auto"/>
        <w:bottom w:val="none" w:sz="0" w:space="0" w:color="auto"/>
        <w:right w:val="none" w:sz="0" w:space="0" w:color="auto"/>
      </w:divBdr>
    </w:div>
    <w:div w:id="1482769375">
      <w:bodyDiv w:val="1"/>
      <w:marLeft w:val="0"/>
      <w:marRight w:val="0"/>
      <w:marTop w:val="0"/>
      <w:marBottom w:val="0"/>
      <w:divBdr>
        <w:top w:val="none" w:sz="0" w:space="0" w:color="auto"/>
        <w:left w:val="none" w:sz="0" w:space="0" w:color="auto"/>
        <w:bottom w:val="none" w:sz="0" w:space="0" w:color="auto"/>
        <w:right w:val="none" w:sz="0" w:space="0" w:color="auto"/>
      </w:divBdr>
    </w:div>
    <w:div w:id="1495489226">
      <w:bodyDiv w:val="1"/>
      <w:marLeft w:val="0"/>
      <w:marRight w:val="0"/>
      <w:marTop w:val="0"/>
      <w:marBottom w:val="0"/>
      <w:divBdr>
        <w:top w:val="none" w:sz="0" w:space="0" w:color="auto"/>
        <w:left w:val="none" w:sz="0" w:space="0" w:color="auto"/>
        <w:bottom w:val="none" w:sz="0" w:space="0" w:color="auto"/>
        <w:right w:val="none" w:sz="0" w:space="0" w:color="auto"/>
      </w:divBdr>
    </w:div>
    <w:div w:id="1498694789">
      <w:bodyDiv w:val="1"/>
      <w:marLeft w:val="0"/>
      <w:marRight w:val="0"/>
      <w:marTop w:val="0"/>
      <w:marBottom w:val="0"/>
      <w:divBdr>
        <w:top w:val="none" w:sz="0" w:space="0" w:color="auto"/>
        <w:left w:val="none" w:sz="0" w:space="0" w:color="auto"/>
        <w:bottom w:val="none" w:sz="0" w:space="0" w:color="auto"/>
        <w:right w:val="none" w:sz="0" w:space="0" w:color="auto"/>
      </w:divBdr>
    </w:div>
    <w:div w:id="1511792458">
      <w:bodyDiv w:val="1"/>
      <w:marLeft w:val="0"/>
      <w:marRight w:val="0"/>
      <w:marTop w:val="0"/>
      <w:marBottom w:val="0"/>
      <w:divBdr>
        <w:top w:val="none" w:sz="0" w:space="0" w:color="auto"/>
        <w:left w:val="none" w:sz="0" w:space="0" w:color="auto"/>
        <w:bottom w:val="none" w:sz="0" w:space="0" w:color="auto"/>
        <w:right w:val="none" w:sz="0" w:space="0" w:color="auto"/>
      </w:divBdr>
    </w:div>
    <w:div w:id="1600068248">
      <w:bodyDiv w:val="1"/>
      <w:marLeft w:val="0"/>
      <w:marRight w:val="0"/>
      <w:marTop w:val="0"/>
      <w:marBottom w:val="0"/>
      <w:divBdr>
        <w:top w:val="none" w:sz="0" w:space="0" w:color="auto"/>
        <w:left w:val="none" w:sz="0" w:space="0" w:color="auto"/>
        <w:bottom w:val="none" w:sz="0" w:space="0" w:color="auto"/>
        <w:right w:val="none" w:sz="0" w:space="0" w:color="auto"/>
      </w:divBdr>
    </w:div>
    <w:div w:id="1619677575">
      <w:bodyDiv w:val="1"/>
      <w:marLeft w:val="0"/>
      <w:marRight w:val="0"/>
      <w:marTop w:val="0"/>
      <w:marBottom w:val="0"/>
      <w:divBdr>
        <w:top w:val="none" w:sz="0" w:space="0" w:color="auto"/>
        <w:left w:val="none" w:sz="0" w:space="0" w:color="auto"/>
        <w:bottom w:val="none" w:sz="0" w:space="0" w:color="auto"/>
        <w:right w:val="none" w:sz="0" w:space="0" w:color="auto"/>
      </w:divBdr>
    </w:div>
    <w:div w:id="1887061866">
      <w:bodyDiv w:val="1"/>
      <w:marLeft w:val="0"/>
      <w:marRight w:val="0"/>
      <w:marTop w:val="0"/>
      <w:marBottom w:val="0"/>
      <w:divBdr>
        <w:top w:val="none" w:sz="0" w:space="0" w:color="auto"/>
        <w:left w:val="none" w:sz="0" w:space="0" w:color="auto"/>
        <w:bottom w:val="none" w:sz="0" w:space="0" w:color="auto"/>
        <w:right w:val="none" w:sz="0" w:space="0" w:color="auto"/>
      </w:divBdr>
    </w:div>
    <w:div w:id="1943608587">
      <w:bodyDiv w:val="1"/>
      <w:marLeft w:val="0"/>
      <w:marRight w:val="0"/>
      <w:marTop w:val="0"/>
      <w:marBottom w:val="0"/>
      <w:divBdr>
        <w:top w:val="none" w:sz="0" w:space="0" w:color="auto"/>
        <w:left w:val="none" w:sz="0" w:space="0" w:color="auto"/>
        <w:bottom w:val="none" w:sz="0" w:space="0" w:color="auto"/>
        <w:right w:val="none" w:sz="0" w:space="0" w:color="auto"/>
      </w:divBdr>
    </w:div>
    <w:div w:id="202450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b:Source>
    <b:Tag>Bri11</b:Tag>
    <b:SourceType>Report</b:SourceType>
    <b:Guid>{F165F380-5BEA-4331-BFF0-9506F4504E2C}</b:Guid>
    <b:Author>
      <b:Author>
        <b:NameList>
          <b:Person>
            <b:Last>Brian A. Fricke</b:Last>
            <b:First>Ph.D.,</b:First>
            <b:Middle>and Vishal Sharma</b:Middle>
          </b:Person>
        </b:NameList>
      </b:Author>
    </b:Author>
    <b:Title>Isolated Sub-Dehumidification Strategies in Large Supermarkets and Grocery Stores</b:Title>
    <b:Year>2011</b:Year>
    <b:Publisher>Oak Ridge National Laboratory</b:Publisher>
    <b:City>Oak Ridge, TN</b:City>
    <b:RefOrder>1</b:RefOrder>
  </b:Source>
</b:Sources>
</file>

<file path=customXml/itemProps1.xml><?xml version="1.0" encoding="utf-8"?>
<ds:datastoreItem xmlns:ds="http://schemas.openxmlformats.org/officeDocument/2006/customXml" ds:itemID="{1250E693-DA0B-4BDA-8699-B1FE7C8CEA55}">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58CFF8E-3601-4E58-AF20-52A797C476EA}">
  <ds:schemaRefs>
    <ds:schemaRef ds:uri="http://schemas.microsoft.com/sharepoint/v3/contenttype/forms"/>
  </ds:schemaRefs>
</ds:datastoreItem>
</file>

<file path=customXml/itemProps3.xml><?xml version="1.0" encoding="utf-8"?>
<ds:datastoreItem xmlns:ds="http://schemas.openxmlformats.org/officeDocument/2006/customXml" ds:itemID="{9C300ABB-E304-4D34-A796-C9774C6F2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7E3940-601F-4049-96F1-610DE887A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5280</Words>
  <Characters>30098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cp:lastPrinted>2014-03-13T16:46:00Z</cp:lastPrinted>
  <dcterms:created xsi:type="dcterms:W3CDTF">2014-05-20T22:54:00Z</dcterms:created>
  <dcterms:modified xsi:type="dcterms:W3CDTF">2014-05-20T22:54:00Z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